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Default="00F16830">
      <w:pPr>
        <w:pStyle w:val="ab"/>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Ad-Hoc Meeting 1901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sz w:val="22"/>
          <w:szCs w:val="22"/>
          <w:lang w:eastAsia="zh-CN"/>
        </w:rPr>
        <w:t>900086</w:t>
      </w:r>
    </w:p>
    <w:p w:rsidR="00645458" w:rsidRDefault="00F16830">
      <w:pPr>
        <w:snapToGrid w:val="0"/>
        <w:spacing w:line="240" w:lineRule="auto"/>
        <w:rPr>
          <w:rFonts w:ascii="Arial" w:eastAsia="MS Mincho" w:hAnsi="Arial"/>
          <w:b/>
          <w:lang w:eastAsia="en-US"/>
        </w:rPr>
      </w:pPr>
      <w:r>
        <w:rPr>
          <w:rFonts w:ascii="Arial" w:hAnsi="Arial"/>
          <w:b/>
        </w:rPr>
        <w:t>Taipei</w:t>
      </w:r>
      <w:r>
        <w:rPr>
          <w:rFonts w:ascii="Arial" w:hAnsi="Arial" w:hint="eastAsia"/>
          <w:b/>
          <w:lang w:eastAsia="ja-JP"/>
        </w:rPr>
        <w:t xml:space="preserve">, </w:t>
      </w:r>
      <w:r>
        <w:rPr>
          <w:rFonts w:ascii="Arial" w:hAnsi="Arial"/>
          <w:b/>
        </w:rPr>
        <w:t>January</w:t>
      </w:r>
      <w:r>
        <w:rPr>
          <w:rFonts w:ascii="Arial" w:hAnsi="Arial" w:hint="eastAsia"/>
          <w:b/>
          <w:lang w:eastAsia="ja-JP"/>
        </w:rPr>
        <w:t xml:space="preserve"> </w:t>
      </w:r>
      <w:r>
        <w:rPr>
          <w:rFonts w:ascii="Arial" w:hAnsi="Arial"/>
          <w:b/>
        </w:rPr>
        <w:t>21</w:t>
      </w:r>
      <w:r>
        <w:rPr>
          <w:rFonts w:ascii="Arial" w:hAnsi="Arial"/>
          <w:b/>
          <w:vertAlign w:val="superscript"/>
          <w:lang w:eastAsia="ja-JP"/>
        </w:rPr>
        <w:t>st</w:t>
      </w:r>
      <w:r>
        <w:rPr>
          <w:rFonts w:ascii="Arial" w:hAnsi="Arial" w:cs="Arial"/>
          <w:b/>
          <w:lang w:eastAsia="ja-JP"/>
        </w:rPr>
        <w:t xml:space="preserve"> –</w:t>
      </w:r>
      <w:r>
        <w:rPr>
          <w:rFonts w:ascii="Arial" w:hAnsi="Arial" w:hint="eastAsia"/>
          <w:b/>
        </w:rPr>
        <w:t xml:space="preserve"> </w:t>
      </w:r>
      <w:r>
        <w:rPr>
          <w:rFonts w:ascii="Arial" w:hAnsi="Arial"/>
          <w:b/>
        </w:rPr>
        <w:t>25</w:t>
      </w:r>
      <w:r>
        <w:rPr>
          <w:rFonts w:ascii="Arial" w:hAnsi="Arial"/>
          <w:b/>
          <w:vertAlign w:val="superscript"/>
          <w:lang w:eastAsia="ja-JP"/>
        </w:rPr>
        <w:t>th</w:t>
      </w:r>
      <w:r>
        <w:rPr>
          <w:rFonts w:ascii="Arial" w:hAnsi="Arial" w:hint="eastAsia"/>
          <w:b/>
          <w:lang w:eastAsia="ja-JP"/>
        </w:rPr>
        <w:t>, 201</w:t>
      </w:r>
      <w:r>
        <w:rPr>
          <w:rFonts w:ascii="Arial" w:hAnsi="Arial"/>
          <w:b/>
          <w:lang w:eastAsia="ja-JP"/>
        </w:rPr>
        <w:t>9</w:t>
      </w:r>
    </w:p>
    <w:p w:rsidR="00645458" w:rsidRDefault="00F168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645458" w:rsidRDefault="00F16830">
      <w:pPr>
        <w:pStyle w:val="ab"/>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rsidR="00645458" w:rsidRDefault="00F16830">
      <w:pPr>
        <w:pStyle w:val="ab"/>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rsidR="00645458" w:rsidRDefault="00F16830">
      <w:pPr>
        <w:pStyle w:val="ab"/>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645458" w:rsidRDefault="00645458">
      <w:pPr>
        <w:pStyle w:val="ab"/>
        <w:tabs>
          <w:tab w:val="clear" w:pos="4536"/>
        </w:tabs>
        <w:snapToGrid w:val="0"/>
        <w:rPr>
          <w:rFonts w:eastAsia="宋体"/>
          <w:szCs w:val="20"/>
          <w:lang w:eastAsia="zh-CN"/>
        </w:rPr>
      </w:pPr>
    </w:p>
    <w:p w:rsidR="00645458" w:rsidRDefault="00645458">
      <w:pPr>
        <w:pBdr>
          <w:bottom w:val="single" w:sz="4" w:space="1" w:color="auto"/>
        </w:pBdr>
        <w:tabs>
          <w:tab w:val="left" w:pos="2552"/>
        </w:tabs>
        <w:snapToGrid w:val="0"/>
        <w:spacing w:line="240" w:lineRule="auto"/>
        <w:rPr>
          <w:sz w:val="4"/>
          <w:szCs w:val="4"/>
        </w:rPr>
      </w:pPr>
    </w:p>
    <w:p w:rsidR="00645458" w:rsidRDefault="00F16830">
      <w:pPr>
        <w:pStyle w:val="1"/>
        <w:tabs>
          <w:tab w:val="clear" w:pos="432"/>
        </w:tabs>
        <w:snapToGrid w:val="0"/>
        <w:spacing w:beforeLines="50" w:before="120" w:afterLines="50" w:after="120"/>
        <w:ind w:left="431" w:hanging="431"/>
        <w:rPr>
          <w:sz w:val="28"/>
          <w:lang w:val="en-US"/>
        </w:rPr>
      </w:pPr>
      <w:r>
        <w:rPr>
          <w:sz w:val="28"/>
          <w:lang w:val="en-US"/>
        </w:rPr>
        <w:t>Introduction</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rsidR="00645458" w:rsidRDefault="00F16830">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taking into account the tradeoff between performance and overhead </w:t>
      </w:r>
    </w:p>
    <w:p w:rsidR="00645458" w:rsidRDefault="00F16830">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95, the following agreement is achieved on Type II CSI enhancements for MU-MIMO.</w:t>
      </w:r>
    </w:p>
    <w:p w:rsidR="00645458" w:rsidRDefault="00F16830">
      <w:pPr>
        <w:snapToGrid w:val="0"/>
        <w:spacing w:before="120" w:afterLines="50" w:after="120" w:line="240" w:lineRule="auto"/>
        <w:jc w:val="both"/>
        <w:rPr>
          <w:rFonts w:eastAsia="微软雅黑"/>
          <w:b/>
          <w:bCs/>
          <w:i/>
          <w:sz w:val="20"/>
          <w:szCs w:val="20"/>
        </w:rPr>
      </w:pPr>
      <w:r>
        <w:rPr>
          <w:rFonts w:eastAsia="微软雅黑"/>
          <w:b/>
          <w:bCs/>
          <w:i/>
          <w:sz w:val="20"/>
          <w:szCs w:val="20"/>
        </w:rPr>
        <w:t>Agreement</w:t>
      </w:r>
    </w:p>
    <w:p w:rsidR="00645458" w:rsidRDefault="00F16830">
      <w:pPr>
        <w:adjustRightInd w:val="0"/>
        <w:snapToGrid w:val="0"/>
        <w:spacing w:after="0" w:line="240" w:lineRule="auto"/>
        <w:jc w:val="both"/>
        <w:rPr>
          <w:rFonts w:eastAsia="微软雅黑"/>
          <w:bCs/>
          <w:i/>
          <w:sz w:val="20"/>
          <w:szCs w:val="20"/>
        </w:rPr>
      </w:pPr>
      <w:r>
        <w:rPr>
          <w:rFonts w:eastAsia="微软雅黑"/>
          <w:bCs/>
          <w:i/>
          <w:sz w:val="20"/>
          <w:szCs w:val="20"/>
        </w:rPr>
        <w:t>For Rel-16 NR, agree on Alt1 (DFT-based compression) in Table 1 of R1-1813002 as the adopted Type II rank 1-2 overhead reduction (compression) scheme as formulated in Alt1.1 of R1-1813002</w:t>
      </w:r>
    </w:p>
    <w:p w:rsidR="00645458" w:rsidRDefault="00F16830">
      <w:pPr>
        <w:numPr>
          <w:ilvl w:val="0"/>
          <w:numId w:val="6"/>
        </w:numPr>
        <w:adjustRightInd w:val="0"/>
        <w:snapToGrid w:val="0"/>
        <w:spacing w:after="0" w:line="240" w:lineRule="auto"/>
        <w:jc w:val="both"/>
        <w:rPr>
          <w:rFonts w:eastAsia="微软雅黑"/>
          <w:bCs/>
          <w:i/>
          <w:sz w:val="20"/>
          <w:szCs w:val="20"/>
        </w:rPr>
      </w:pPr>
      <w:r>
        <w:rPr>
          <w:rFonts w:eastAsia="微软雅黑"/>
          <w:bCs/>
          <w:i/>
          <w:sz w:val="20"/>
          <w:szCs w:val="20"/>
        </w:rPr>
        <w:t>Note: The same DFT-based compression scheme is extended for Type II port selection codebook</w:t>
      </w:r>
    </w:p>
    <w:p w:rsidR="00645458" w:rsidRDefault="00F16830">
      <w:pPr>
        <w:numPr>
          <w:ilvl w:val="0"/>
          <w:numId w:val="6"/>
        </w:numPr>
        <w:adjustRightInd w:val="0"/>
        <w:snapToGrid w:val="0"/>
        <w:spacing w:after="0" w:line="240" w:lineRule="auto"/>
        <w:jc w:val="both"/>
        <w:rPr>
          <w:rFonts w:eastAsia="微软雅黑"/>
          <w:bCs/>
          <w:i/>
          <w:sz w:val="20"/>
          <w:szCs w:val="20"/>
        </w:rPr>
      </w:pPr>
      <w:r>
        <w:rPr>
          <w:rFonts w:eastAsia="微软雅黑"/>
          <w:bCs/>
          <w:i/>
          <w:sz w:val="20"/>
          <w:szCs w:val="20"/>
        </w:rPr>
        <w:t>Codebook subset restriction (CBSR) is supported when DFT-based compression is utilized for Type II codebooks with overhead reduction (compression) scheme</w:t>
      </w:r>
    </w:p>
    <w:p w:rsidR="00645458" w:rsidRDefault="00F16830">
      <w:pPr>
        <w:numPr>
          <w:ilvl w:val="1"/>
          <w:numId w:val="6"/>
        </w:numPr>
        <w:adjustRightInd w:val="0"/>
        <w:snapToGrid w:val="0"/>
        <w:spacing w:after="0" w:line="240" w:lineRule="auto"/>
        <w:jc w:val="both"/>
        <w:rPr>
          <w:rFonts w:eastAsia="微软雅黑"/>
          <w:bCs/>
          <w:i/>
          <w:sz w:val="20"/>
          <w:szCs w:val="20"/>
        </w:rPr>
      </w:pPr>
      <w:r>
        <w:rPr>
          <w:rFonts w:eastAsia="微软雅黑"/>
          <w:bCs/>
          <w:i/>
          <w:sz w:val="20"/>
          <w:szCs w:val="20"/>
        </w:rPr>
        <w:t xml:space="preserve">FFS: detailed signaling mechanism </w:t>
      </w:r>
    </w:p>
    <w:p w:rsidR="00645458" w:rsidRDefault="00F16830">
      <w:pPr>
        <w:numPr>
          <w:ilvl w:val="0"/>
          <w:numId w:val="6"/>
        </w:numPr>
        <w:adjustRightInd w:val="0"/>
        <w:snapToGrid w:val="0"/>
        <w:spacing w:after="0" w:line="240" w:lineRule="auto"/>
        <w:jc w:val="both"/>
        <w:rPr>
          <w:rFonts w:eastAsia="微软雅黑"/>
          <w:bCs/>
          <w:i/>
          <w:sz w:val="20"/>
          <w:szCs w:val="20"/>
        </w:rPr>
      </w:pPr>
      <w:r>
        <w:rPr>
          <w:rFonts w:eastAsia="微软雅黑"/>
          <w:bCs/>
          <w:i/>
          <w:sz w:val="20"/>
          <w:szCs w:val="20"/>
        </w:rPr>
        <w:t xml:space="preserve">Note: Additional compression scheme(s) are not precluded </w:t>
      </w:r>
    </w:p>
    <w:p w:rsidR="00645458" w:rsidRDefault="00F168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w:t>
      </w:r>
      <w:r>
        <w:rPr>
          <w:rFonts w:eastAsia="微软雅黑"/>
          <w:sz w:val="20"/>
          <w:szCs w:val="20"/>
          <w:lang w:val="en-GB"/>
        </w:rPr>
        <w:t xml:space="preserve"> remaining details of</w:t>
      </w:r>
      <w:r>
        <w:rPr>
          <w:rFonts w:eastAsia="微软雅黑" w:hint="eastAsia"/>
          <w:sz w:val="20"/>
          <w:szCs w:val="20"/>
          <w:lang w:val="en-GB"/>
        </w:rPr>
        <w:t xml:space="preserve"> Type II CSI enhancements in the above MU-MIMO scope.</w:t>
      </w:r>
    </w:p>
    <w:p w:rsidR="00645458" w:rsidRDefault="00F16830">
      <w:pPr>
        <w:pStyle w:val="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rsidR="00645458" w:rsidRDefault="00F16830">
      <w:pPr>
        <w:pStyle w:val="16"/>
      </w:pPr>
      <w:r>
        <w:t>2.1 DFT based FD compression scheme</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 xml:space="preserve">Based on the NR Rel-15 Type II codebook, the linear combination of spatial DFT basis vectors is used to generate </w:t>
      </w:r>
      <w:r w:rsidR="00817685">
        <w:rPr>
          <w:rFonts w:eastAsia="微软雅黑"/>
          <w:sz w:val="20"/>
          <w:szCs w:val="20"/>
        </w:rPr>
        <w:t>precoder of each frequency-domain unit</w:t>
      </w:r>
      <w:r>
        <w:rPr>
          <w:rFonts w:eastAsia="微软雅黑"/>
          <w:sz w:val="20"/>
          <w:szCs w:val="20"/>
        </w:rPr>
        <w:t>. The precoder of each layer and frequency-domain unit can be expressed as follows.</w:t>
      </w:r>
    </w:p>
    <w:p w:rsidR="00645458" w:rsidRDefault="002F0DBA">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w:r>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Pr>
          <w:rFonts w:eastAsia="微软雅黑" w:hint="eastAsia"/>
          <w:sz w:val="20"/>
          <w:szCs w:val="20"/>
        </w:rPr>
        <w:t xml:space="preserve"> are the L wideband spatial </w:t>
      </w:r>
      <w:r>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Pr>
          <w:rFonts w:eastAsia="微软雅黑" w:hint="eastAsia"/>
          <w:sz w:val="20"/>
          <w:szCs w:val="20"/>
        </w:rPr>
        <w:t xml:space="preserve"> is the combination </w:t>
      </w:r>
      <w:r>
        <w:rPr>
          <w:rFonts w:eastAsia="微软雅黑"/>
          <w:sz w:val="20"/>
          <w:szCs w:val="20"/>
        </w:rPr>
        <w:t xml:space="preserve">coefficient of beam </w:t>
      </w:r>
      <w:r w:rsidRPr="003F38BD">
        <w:rPr>
          <w:rFonts w:eastAsia="微软雅黑"/>
          <w:i/>
          <w:sz w:val="20"/>
          <w:szCs w:val="20"/>
        </w:rPr>
        <w:t xml:space="preserve">l </w:t>
      </w:r>
      <w:r>
        <w:rPr>
          <w:rFonts w:eastAsia="微软雅黑"/>
          <w:sz w:val="20"/>
          <w:szCs w:val="20"/>
        </w:rPr>
        <w:t>in FD unit s.</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Default="002F0DBA">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here</w:t>
      </w:r>
      <w:r>
        <w:rPr>
          <w:rFonts w:eastAsia="微软雅黑"/>
          <w:sz w:val="20"/>
          <w:szCs w:val="20"/>
        </w:rPr>
        <w:t xml:space="preserve"> DFT vectors</w:t>
      </w:r>
      <w:r>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w:t>
      </w:r>
      <w:r>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Pr>
          <w:rFonts w:eastAsia="微软雅黑" w:hint="eastAsia"/>
          <w:sz w:val="20"/>
          <w:szCs w:val="20"/>
        </w:rPr>
        <w:t xml:space="preserve"> is the </w:t>
      </w:r>
      <w:r>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is </w:t>
      </w:r>
      <w:r>
        <w:rPr>
          <w:rFonts w:eastAsia="微软雅黑"/>
          <w:sz w:val="20"/>
          <w:szCs w:val="20"/>
        </w:rPr>
        <w:t>relatively low. Hence overhead reduction can be achieved.</w:t>
      </w:r>
    </w:p>
    <w:p w:rsidR="00645458" w:rsidRDefault="00F16830">
      <w:pPr>
        <w:snapToGrid w:val="0"/>
        <w:spacing w:before="120" w:afterLines="50" w:after="120" w:line="240" w:lineRule="auto"/>
        <w:jc w:val="center"/>
        <w:rPr>
          <w:rFonts w:eastAsia="微软雅黑"/>
          <w:sz w:val="20"/>
          <w:szCs w:val="20"/>
        </w:rPr>
      </w:pPr>
      <w:r>
        <w:object w:dxaOrig="778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166.4pt" o:ole="">
            <v:imagedata r:id="rId8" o:title=""/>
          </v:shape>
          <o:OLEObject Type="Embed" ProgID="Visio.Drawing.11" ShapeID="_x0000_i1025" DrawAspect="Content" ObjectID="_1608802417" r:id="rId9"/>
        </w:objec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Fig. 1 DFT based FD compression approach</w:t>
      </w:r>
    </w:p>
    <w:p w:rsidR="00645458" w:rsidRDefault="00F16830">
      <w:pPr>
        <w:snapToGrid w:val="0"/>
        <w:spacing w:before="120" w:afterLines="50" w:after="120" w:line="240" w:lineRule="auto"/>
        <w:jc w:val="both"/>
        <w:rPr>
          <w:rFonts w:eastAsia="微软雅黑"/>
          <w:bCs/>
          <w:sz w:val="20"/>
          <w:szCs w:val="20"/>
        </w:rPr>
      </w:pPr>
      <w:r>
        <w:rPr>
          <w:rFonts w:eastAsia="微软雅黑" w:hint="eastAsia"/>
          <w:bCs/>
          <w:sz w:val="20"/>
          <w:szCs w:val="20"/>
        </w:rPr>
        <w:t xml:space="preserve">For the </w:t>
      </w:r>
      <w:r>
        <w:rPr>
          <w:rFonts w:eastAsia="微软雅黑"/>
          <w:bCs/>
          <w:sz w:val="20"/>
          <w:szCs w:val="20"/>
        </w:rPr>
        <w:t>completeness of the DFT based FD compression codebook, the following remaining details are to be decided:</w:t>
      </w:r>
    </w:p>
    <w:p w:rsidR="00645458" w:rsidRDefault="00F16830">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hint="eastAsia"/>
          <w:bCs/>
          <w:sz w:val="20"/>
          <w:szCs w:val="20"/>
        </w:rPr>
        <w:t xml:space="preserve">Common FD basis </w:t>
      </w:r>
      <w:r>
        <w:rPr>
          <w:rFonts w:eastAsia="微软雅黑"/>
          <w:bCs/>
          <w:sz w:val="20"/>
          <w:szCs w:val="20"/>
        </w:rPr>
        <w:t xml:space="preserve">or independent FD basis for all the 2L spatial beams </w:t>
      </w:r>
    </w:p>
    <w:p w:rsidR="00645458" w:rsidRDefault="00F16830">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Granularity of the FD units: RB level or sub-band level</w:t>
      </w:r>
    </w:p>
    <w:p w:rsidR="00645458" w:rsidRDefault="00F16830">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hint="eastAsia"/>
          <w:bCs/>
          <w:sz w:val="20"/>
          <w:szCs w:val="20"/>
        </w:rPr>
        <w:t xml:space="preserve">The </w:t>
      </w:r>
      <w:r>
        <w:rPr>
          <w:rFonts w:eastAsia="微软雅黑"/>
          <w:bCs/>
          <w:sz w:val="20"/>
          <w:szCs w:val="20"/>
        </w:rPr>
        <w:t>length</w:t>
      </w:r>
      <w:r>
        <w:rPr>
          <w:rFonts w:eastAsia="微软雅黑" w:hint="eastAsia"/>
          <w:bCs/>
          <w:sz w:val="20"/>
          <w:szCs w:val="20"/>
        </w:rPr>
        <w:t xml:space="preserve"> </w:t>
      </w:r>
      <w:r>
        <w:rPr>
          <w:rFonts w:eastAsia="微软雅黑"/>
          <w:bCs/>
          <w:sz w:val="20"/>
          <w:szCs w:val="20"/>
        </w:rPr>
        <w:t>of FD basis vectors: Is segmentation needed?</w:t>
      </w:r>
    </w:p>
    <w:p w:rsidR="00645458" w:rsidRDefault="00F16830">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Quantization of coefficients after compression</w:t>
      </w:r>
    </w:p>
    <w:p w:rsidR="00645458" w:rsidRDefault="00F16830">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Coefficient subset selection</w:t>
      </w:r>
    </w:p>
    <w:p w:rsidR="0015391E" w:rsidRDefault="0015391E">
      <w:pPr>
        <w:pStyle w:val="af8"/>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t>Codebook subset restriction</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 xml:space="preserve">We discuss the above issues in the following subsections. </w:t>
      </w:r>
    </w:p>
    <w:p w:rsidR="00645458" w:rsidRDefault="00F16830">
      <w:pPr>
        <w:snapToGrid w:val="0"/>
        <w:spacing w:before="120" w:afterLines="50" w:after="120" w:line="240" w:lineRule="auto"/>
        <w:jc w:val="both"/>
        <w:rPr>
          <w:rFonts w:eastAsia="微软雅黑"/>
          <w:b/>
        </w:rPr>
      </w:pPr>
      <w:r>
        <w:rPr>
          <w:rFonts w:eastAsia="微软雅黑"/>
          <w:b/>
        </w:rPr>
        <w:t>2.2 Common FD basis v.s. independent FD basis</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 xml:space="preserve">In the above Fig.1 for DFT based FD compression, one issue is whether the same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Pr>
          <w:rFonts w:eastAsia="微软雅黑" w:hint="eastAsia"/>
          <w:sz w:val="20"/>
          <w:szCs w:val="20"/>
        </w:rPr>
        <w:t xml:space="preserve"> is used for all the spatial beams, </w:t>
      </w:r>
      <w:r>
        <w:rPr>
          <w:rFonts w:eastAsia="微软雅黑"/>
          <w:sz w:val="20"/>
          <w:szCs w:val="20"/>
        </w:rPr>
        <w:t xml:space="preserve">or </w:t>
      </w:r>
      <w:r>
        <w:rPr>
          <w:rFonts w:eastAsia="微软雅黑" w:hint="eastAsia"/>
          <w:sz w:val="20"/>
          <w:szCs w:val="20"/>
        </w:rPr>
        <w:t xml:space="preserve">different FD basis vectors can be used for </w:t>
      </w:r>
      <w:r>
        <w:rPr>
          <w:rFonts w:eastAsia="微软雅黑"/>
          <w:sz w:val="20"/>
          <w:szCs w:val="20"/>
        </w:rPr>
        <w:t xml:space="preserve">different </w:t>
      </w:r>
      <w:r w:rsidRPr="000D3D1E">
        <w:rPr>
          <w:rFonts w:eastAsia="微软雅黑"/>
          <w:i/>
          <w:sz w:val="20"/>
          <w:szCs w:val="20"/>
        </w:rPr>
        <w:t>l</w:t>
      </w:r>
      <w:r>
        <w:rPr>
          <w:rFonts w:eastAsia="微软雅黑"/>
          <w:sz w:val="20"/>
          <w:szCs w:val="20"/>
        </w:rPr>
        <w:t>. If common FD basis vectors are used for all the beams, the final precoder can be expressed as follows.</w:t>
      </w:r>
    </w:p>
    <w:p w:rsidR="00645458" w:rsidRDefault="00F16830">
      <w:pPr>
        <w:snapToGrid w:val="0"/>
        <w:spacing w:before="120" w:afterLines="50" w:after="120" w:line="240" w:lineRule="auto"/>
        <w:jc w:val="both"/>
        <w:rPr>
          <w:rFonts w:eastAsia="微软雅黑"/>
          <w:b/>
          <w:sz w:val="20"/>
          <w:szCs w:val="20"/>
        </w:rPr>
      </w:pPr>
      <m:oMathPara>
        <m:oMath>
          <m:r>
            <m:rPr>
              <m:sty m:val="b"/>
            </m:rPr>
            <w:rPr>
              <w:rFonts w:ascii="Cambria Math" w:eastAsia="微软雅黑" w:hAnsi="Cambria Math"/>
              <w:sz w:val="20"/>
              <w:szCs w:val="20"/>
            </w:rPr>
            <m:t>F</m:t>
          </m:r>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1</m:t>
                  </m:r>
                </m:sub>
              </m:sSub>
              <m:r>
                <m:rPr>
                  <m:sty m:val="p"/>
                </m:rPr>
                <w:rPr>
                  <w:rFonts w:ascii="Cambria Math" w:eastAsia="微软雅黑" w:hAnsi="Cambria Math"/>
                  <w:sz w:val="20"/>
                  <w:szCs w:val="20"/>
                </w:rPr>
                <m:t>, ⋯,</m:t>
              </m:r>
              <m:sSub>
                <m:sSubPr>
                  <m:ctrlPr>
                    <w:rPr>
                      <w:rFonts w:ascii="Cambria Math" w:eastAsia="微软雅黑" w:hAnsi="Cambria Math"/>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e>
          </m:d>
          <m: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1,1</m:t>
                        </m:r>
                      </m:sub>
                    </m:sSub>
                  </m:e>
                  <m:e>
                    <m:r>
                      <w:rPr>
                        <w:rFonts w:ascii="Cambria Math" w:eastAsia="微软雅黑" w:hAnsi="Cambria Math"/>
                        <w:sz w:val="20"/>
                        <w:szCs w:val="20"/>
                      </w:rPr>
                      <m:t>⋯</m:t>
                    </m:r>
                  </m:e>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1,M</m:t>
                        </m:r>
                      </m:sub>
                    </m:sSub>
                  </m:e>
                </m:mr>
                <m:mr>
                  <m:e>
                    <m:r>
                      <w:rPr>
                        <w:rFonts w:ascii="Cambria Math" w:eastAsia="微软雅黑" w:hAnsi="Cambria Math"/>
                        <w:sz w:val="20"/>
                        <w:szCs w:val="20"/>
                      </w:rPr>
                      <m:t>⋮</m:t>
                    </m:r>
                  </m:e>
                  <m:e>
                    <m:r>
                      <w:rPr>
                        <w:rFonts w:ascii="Cambria Math" w:eastAsia="微软雅黑" w:hAnsi="Cambria Math"/>
                        <w:sz w:val="20"/>
                        <w:szCs w:val="20"/>
                      </w:rPr>
                      <m:t xml:space="preserve">⋱ </m:t>
                    </m:r>
                  </m:e>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2L,1</m:t>
                        </m:r>
                      </m:sub>
                    </m:sSub>
                  </m:e>
                  <m:e>
                    <m:r>
                      <w:rPr>
                        <w:rFonts w:ascii="Cambria Math" w:eastAsia="微软雅黑" w:hAnsi="Cambria Math"/>
                        <w:sz w:val="20"/>
                        <w:szCs w:val="20"/>
                      </w:rPr>
                      <m:t>⋯</m:t>
                    </m:r>
                  </m:e>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2L,M</m:t>
                        </m:r>
                      </m:sub>
                    </m:sSub>
                  </m:e>
                </m:mr>
              </m:m>
            </m:e>
          </m:d>
          <m:sSup>
            <m:sSupPr>
              <m:ctrlPr>
                <w:rPr>
                  <w:rFonts w:ascii="Cambria Math" w:eastAsia="微软雅黑" w:hAnsi="Cambria Math"/>
                  <w:i/>
                  <w:sz w:val="20"/>
                  <w:szCs w:val="20"/>
                </w:rPr>
              </m:ctrlPr>
            </m:sSupPr>
            <m:e>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M</m:t>
                            </m:r>
                          </m:sub>
                        </m:sSub>
                      </m:e>
                    </m:mr>
                  </m:m>
                </m:e>
              </m:d>
            </m:e>
            <m:sup>
              <m:r>
                <w:rPr>
                  <w:rFonts w:ascii="Cambria Math" w:eastAsia="微软雅黑" w:hAnsi="Cambria Math"/>
                  <w:sz w:val="20"/>
                  <w:szCs w:val="20"/>
                </w:rPr>
                <m:t>T</m:t>
              </m:r>
            </m:sup>
          </m:sSup>
        </m:oMath>
      </m:oMathPara>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 xml:space="preserve">We simulate the Overhead-Performance trade-off of common basis and independent basis in SLS. </w:t>
      </w:r>
      <w:r>
        <w:rPr>
          <w:rFonts w:eastAsia="微软雅黑"/>
          <w:sz w:val="20"/>
          <w:szCs w:val="20"/>
        </w:rPr>
        <w:t xml:space="preserve">In the simulation, all the coefficients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Pr>
          <w:rFonts w:eastAsia="微软雅黑"/>
          <w:sz w:val="20"/>
          <w:szCs w:val="20"/>
        </w:rPr>
        <w:t xml:space="preserve"> are reported with 3-bit phase and 3-bit amplitude. L is from the set {2,3,4}, and M is from the set {2,3,4,5,6}.</w:t>
      </w:r>
    </w:p>
    <w:p w:rsidR="00645458" w:rsidRDefault="00697A65">
      <w:pPr>
        <w:snapToGrid w:val="0"/>
        <w:spacing w:before="120" w:afterLines="50" w:after="120" w:line="240" w:lineRule="auto"/>
        <w:jc w:val="center"/>
        <w:rPr>
          <w:rFonts w:eastAsia="微软雅黑"/>
          <w:sz w:val="20"/>
          <w:szCs w:val="20"/>
        </w:rPr>
      </w:pPr>
      <w:r>
        <w:rPr>
          <w:noProof/>
        </w:rPr>
        <w:drawing>
          <wp:inline distT="0" distB="0" distL="114300" distR="114300" wp14:anchorId="6717CF90" wp14:editId="1782AB92">
            <wp:extent cx="3956365" cy="2014041"/>
            <wp:effectExtent l="0" t="0" r="0" b="571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0"/>
                    <a:stretch>
                      <a:fillRect/>
                    </a:stretch>
                  </pic:blipFill>
                  <pic:spPr>
                    <a:xfrm>
                      <a:off x="0" y="0"/>
                      <a:ext cx="3985474" cy="2028859"/>
                    </a:xfrm>
                    <a:prstGeom prst="rect">
                      <a:avLst/>
                    </a:prstGeom>
                    <a:noFill/>
                    <a:ln>
                      <a:noFill/>
                    </a:ln>
                  </pic:spPr>
                </pic:pic>
              </a:graphicData>
            </a:graphic>
          </wp:inline>
        </w:drawing>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Fig. 2 Performance-Overhead trade-off for common basis and independent basis</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The simulation results are depicted in Fig. 2. RU in this figure is around 70%. Type II in this figure is the Rel-15 Type II with </w:t>
      </w:r>
      <w:r w:rsidR="00EE08C2">
        <w:rPr>
          <w:rFonts w:eastAsia="微软雅黑" w:hint="eastAsia"/>
          <w:sz w:val="20"/>
          <w:szCs w:val="20"/>
        </w:rPr>
        <w:t>wideband</w:t>
      </w:r>
      <w:r>
        <w:rPr>
          <w:rFonts w:eastAsia="微软雅黑"/>
          <w:sz w:val="20"/>
          <w:szCs w:val="20"/>
        </w:rPr>
        <w:t xml:space="preserve"> amplitude.</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It can be observed that independent basis does not provide clear gain over common basis, and common basis provides lower overhead.</w:t>
      </w:r>
      <w:r>
        <w:rPr>
          <w:rFonts w:eastAsia="微软雅黑" w:hint="eastAsia"/>
          <w:sz w:val="20"/>
          <w:szCs w:val="20"/>
        </w:rPr>
        <w:t xml:space="preserve"> </w:t>
      </w:r>
      <w:r>
        <w:rPr>
          <w:rFonts w:eastAsia="微软雅黑"/>
          <w:sz w:val="20"/>
          <w:szCs w:val="20"/>
        </w:rPr>
        <w:t>Common basis can achieve better Performance-Overhead trade-off. Hence we propose to support common basis vectors in Rel-16.</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Further</w:t>
      </w:r>
      <w:r>
        <w:rPr>
          <w:rFonts w:eastAsia="微软雅黑"/>
          <w:sz w:val="20"/>
          <w:szCs w:val="20"/>
        </w:rPr>
        <w:t>, in Fig.2, it can be found that M=6 almost reaches the overhead of Rel-15 Type II</w:t>
      </w:r>
      <w:r>
        <w:rPr>
          <w:rFonts w:eastAsia="微软雅黑" w:hint="eastAsia"/>
          <w:sz w:val="20"/>
          <w:szCs w:val="20"/>
        </w:rPr>
        <w:t xml:space="preserve"> for 10M</w:t>
      </w:r>
      <w:r>
        <w:rPr>
          <w:rFonts w:eastAsia="微软雅黑"/>
          <w:sz w:val="20"/>
          <w:szCs w:val="20"/>
        </w:rPr>
        <w:t>Hz with 15KHz SCS. Further, increasing M will not increase the performance significantly after M reaches 5. Hence we propose that the supported M values cannot exceed 6.</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 xml:space="preserve">Observation 1: </w:t>
      </w:r>
      <w:r>
        <w:rPr>
          <w:rFonts w:eastAsia="微软雅黑"/>
          <w:i/>
          <w:sz w:val="20"/>
          <w:szCs w:val="20"/>
        </w:rPr>
        <w:t>Independent basis does not provide clear gain over common basis with higher overhead.</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1:</w:t>
      </w:r>
      <w:r>
        <w:rPr>
          <w:rFonts w:eastAsia="微软雅黑"/>
          <w:i/>
          <w:sz w:val="20"/>
          <w:szCs w:val="20"/>
        </w:rPr>
        <w:t xml:space="preserve"> Support common FD basis vectors for all the spatial beams.</w:t>
      </w:r>
    </w:p>
    <w:p w:rsidR="00645458" w:rsidRDefault="00F1683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2: </w:t>
      </w:r>
      <w:r>
        <w:rPr>
          <w:rFonts w:eastAsia="微软雅黑"/>
          <w:i/>
          <w:sz w:val="20"/>
          <w:szCs w:val="20"/>
        </w:rPr>
        <w:t>M=6 almost reaches the overhead of Rel-15 Type II for 10MHz with 15KHz SCS. Increasing M does not increase the performance significantly after M reaches 5.</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The maximum supported M value is no larger than 6.</w:t>
      </w:r>
    </w:p>
    <w:p w:rsidR="00645458" w:rsidRDefault="00F16830">
      <w:pPr>
        <w:snapToGrid w:val="0"/>
        <w:spacing w:before="120" w:afterLines="50" w:after="120" w:line="240" w:lineRule="auto"/>
        <w:jc w:val="both"/>
        <w:rPr>
          <w:rFonts w:eastAsia="微软雅黑"/>
          <w:b/>
        </w:rPr>
      </w:pPr>
      <w:r>
        <w:rPr>
          <w:rFonts w:eastAsia="微软雅黑" w:hint="eastAsia"/>
          <w:b/>
        </w:rPr>
        <w:t>2.</w:t>
      </w:r>
      <w:r>
        <w:rPr>
          <w:rFonts w:eastAsia="微软雅黑"/>
          <w:b/>
        </w:rPr>
        <w:t>3</w:t>
      </w:r>
      <w:r>
        <w:rPr>
          <w:rFonts w:eastAsia="微软雅黑" w:hint="eastAsia"/>
          <w:b/>
        </w:rPr>
        <w:t xml:space="preserve"> </w:t>
      </w:r>
      <w:r>
        <w:rPr>
          <w:rFonts w:eastAsia="微软雅黑"/>
          <w:b/>
        </w:rPr>
        <w:t>Granularity and segments of FD units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In NR Rel-15, one FD unit can only be one CQI sub-band. </w:t>
      </w:r>
      <w:r>
        <w:rPr>
          <w:rFonts w:ascii="Times New Roman" w:eastAsia="微软雅黑" w:hAnsi="Times New Roman" w:cs="Times New Roman"/>
          <w:szCs w:val="20"/>
          <w:lang w:val="en-US"/>
        </w:rPr>
        <w:t xml:space="preserve">The reason is that for Rel-15 Type II CSI, PMI overhead would increase significantly with the number of FD units. However, based on the above analysis of FD compression scheme based on DFT vectors, the overhead of the spatial domain beams </w:t>
      </w:r>
      <m:oMath>
        <m:sSub>
          <m:sSubPr>
            <m:ctrlPr>
              <w:rPr>
                <w:rFonts w:ascii="Cambria Math" w:eastAsia="微软雅黑" w:hAnsi="Cambria Math"/>
                <w:i/>
                <w:szCs w:val="20"/>
              </w:rPr>
            </m:ctrlPr>
          </m:sSubPr>
          <m:e>
            <m:r>
              <m:rPr>
                <m:sty m:val="bi"/>
              </m:rPr>
              <w:rPr>
                <w:rFonts w:ascii="Cambria Math" w:eastAsia="微软雅黑" w:hAnsi="Cambria Math"/>
                <w:szCs w:val="20"/>
              </w:rPr>
              <m:t>v</m:t>
            </m:r>
          </m:e>
          <m:sub>
            <m:r>
              <w:rPr>
                <w:rFonts w:ascii="Cambria Math" w:eastAsia="微软雅黑" w:hAnsi="Cambria Math"/>
                <w:szCs w:val="20"/>
              </w:rPr>
              <m:t>l</m:t>
            </m:r>
          </m:sub>
        </m:sSub>
      </m:oMath>
      <w:r>
        <w:rPr>
          <w:rFonts w:ascii="Times New Roman" w:eastAsia="微软雅黑" w:hAnsi="Times New Roman" w:cs="Times New Roman"/>
          <w:szCs w:val="20"/>
          <w:lang w:val="en-US"/>
        </w:rPr>
        <w:t xml:space="preserve"> and coefficients </w:t>
      </w:r>
      <m:oMath>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r>
          <w:rPr>
            <w:rFonts w:ascii="Cambria Math" w:eastAsia="微软雅黑" w:hAnsi="Cambria Math"/>
            <w:szCs w:val="20"/>
          </w:rPr>
          <m:t xml:space="preserve"> </m:t>
        </m:r>
      </m:oMath>
      <w:r>
        <w:rPr>
          <w:rFonts w:ascii="Times New Roman" w:eastAsia="微软雅黑" w:hAnsi="Times New Roman" w:cs="Times New Roman"/>
          <w:szCs w:val="20"/>
          <w:lang w:val="en-US"/>
        </w:rPr>
        <w:t>after compression does not depend on number of FD units. The overhead of reporting FD basis vectors depends on the number of FD units, but it is not major contribution in the final overhead. On the other hand, with finer FD units, better performance can be achieved based on finer PRG size or scheduling granularity.</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Another issue related to the frequency property of Type II compression feedback is the length of DFT based FD basis vectors, i.e., one FD compression is performed across the entire BW or one segment of the BW. In theory, as gain of overhead reduction based on DFT compression comes from the frequency correlation of the coefficients in Rel-15 Type II codebook, the correlation can be quite weak for the two FD units with large BW gap in between. Hence dividing the whole BW into two segments can guarantee that in each segment, the good correlation among the FD units in each segment can provide good compression performance.</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Take two segments as an example. The detailed approach of segmentation is depicted in Fig. 3. All the S FD units are divided into two segments, where Segment 1 contains FD unit 1 to FD unit S/2, and Segment 2 contains FD unit S/2+1 to FD unit S. In the first segment, the length of each FD DFT vectors </w:t>
      </w:r>
      <m:oMath>
        <m:sSubSup>
          <m:sSubSupPr>
            <m:ctrlPr>
              <w:rPr>
                <w:rFonts w:ascii="Cambria Math" w:eastAsia="微软雅黑" w:hAnsi="Cambria Math" w:cs="Times New Roman"/>
                <w:szCs w:val="20"/>
              </w:rPr>
            </m:ctrlPr>
          </m:sSubSupPr>
          <m:e>
            <m:r>
              <m:rPr>
                <m:sty m:val="bi"/>
              </m:rPr>
              <w:rPr>
                <w:rFonts w:ascii="Cambria Math" w:eastAsia="微软雅黑" w:hAnsi="Cambria Math"/>
                <w:szCs w:val="20"/>
              </w:rPr>
              <m:t>u</m:t>
            </m:r>
            <m:ctrlPr>
              <w:rPr>
                <w:rFonts w:ascii="Cambria Math" w:eastAsia="微软雅黑" w:hAnsi="Cambria Math"/>
                <w:b/>
                <w:i/>
                <w:szCs w:val="20"/>
              </w:rPr>
            </m:ctrlPr>
          </m:e>
          <m:sub>
            <m:r>
              <w:rPr>
                <w:rFonts w:ascii="Cambria Math" w:eastAsia="微软雅黑" w:hAnsi="Cambria Math"/>
                <w:szCs w:val="20"/>
              </w:rPr>
              <m:t>m</m:t>
            </m:r>
            <m:ctrlPr>
              <w:rPr>
                <w:rFonts w:ascii="Cambria Math" w:eastAsia="微软雅黑" w:hAnsi="Cambria Math"/>
                <w:i/>
                <w:szCs w:val="20"/>
              </w:rPr>
            </m:ctrlPr>
          </m:sub>
          <m:sup>
            <m:r>
              <m:rPr>
                <m:sty m:val="p"/>
              </m:rPr>
              <w:rPr>
                <w:rFonts w:ascii="Cambria Math" w:eastAsia="微软雅黑" w:hAnsi="Cambria Math" w:cs="Times New Roman"/>
                <w:szCs w:val="20"/>
              </w:rPr>
              <m:t>(i)</m:t>
            </m:r>
          </m:sup>
        </m:sSubSup>
      </m:oMath>
      <w:r>
        <w:rPr>
          <w:rFonts w:ascii="Times New Roman" w:eastAsia="微软雅黑" w:hAnsi="Times New Roman" w:cs="Times New Roman"/>
          <w:szCs w:val="20"/>
          <w:lang w:val="en-US"/>
        </w:rPr>
        <w:t xml:space="preserve"> is S/2. The total number of coefficients </w:t>
      </w:r>
      <m:oMath>
        <m:sSubSup>
          <m:sSubSupPr>
            <m:ctrlPr>
              <w:rPr>
                <w:rFonts w:ascii="Cambria Math" w:eastAsia="微软雅黑" w:hAnsi="Cambria Math"/>
                <w:i/>
                <w:szCs w:val="20"/>
              </w:rPr>
            </m:ctrlPr>
          </m:sSubSupPr>
          <m:e>
            <m:r>
              <w:rPr>
                <w:rFonts w:ascii="Cambria Math" w:eastAsia="微软雅黑" w:hAnsi="Cambria Math"/>
                <w:szCs w:val="20"/>
              </w:rPr>
              <m:t>c</m:t>
            </m:r>
          </m:e>
          <m:sub>
            <m:r>
              <w:rPr>
                <w:rFonts w:ascii="Cambria Math" w:eastAsia="微软雅黑" w:hAnsi="Cambria Math"/>
                <w:szCs w:val="20"/>
              </w:rPr>
              <m:t>1,M</m:t>
            </m:r>
          </m:sub>
          <m:sup>
            <m:r>
              <w:rPr>
                <w:rFonts w:ascii="Cambria Math" w:eastAsia="微软雅黑" w:hAnsi="Cambria Math"/>
                <w:szCs w:val="20"/>
              </w:rPr>
              <m:t>(i)</m:t>
            </m:r>
          </m:sup>
        </m:sSubSup>
      </m:oMath>
      <w:r>
        <w:rPr>
          <w:rFonts w:ascii="Times New Roman" w:eastAsia="微软雅黑" w:hAnsi="Times New Roman" w:cs="Times New Roman" w:hint="eastAsia"/>
          <w:szCs w:val="20"/>
        </w:rPr>
        <w:t xml:space="preserve"> is </w:t>
      </w:r>
      <w:r>
        <w:rPr>
          <w:rFonts w:ascii="Times New Roman" w:eastAsia="微软雅黑" w:hAnsi="Times New Roman" w:cs="Times New Roman"/>
          <w:szCs w:val="20"/>
        </w:rPr>
        <w:t>2</w:t>
      </w:r>
      <w:r>
        <w:rPr>
          <w:rFonts w:ascii="Times New Roman" w:eastAsia="微软雅黑" w:hAnsi="Times New Roman" w:cs="Times New Roman" w:hint="eastAsia"/>
          <w:szCs w:val="20"/>
        </w:rPr>
        <w:t>LM in each segment.</w:t>
      </w:r>
    </w:p>
    <w:p w:rsidR="00645458" w:rsidRDefault="00F16830">
      <w:pPr>
        <w:pStyle w:val="13"/>
        <w:snapToGrid w:val="0"/>
        <w:spacing w:before="120" w:afterLines="50" w:after="120"/>
        <w:ind w:leftChars="0" w:left="0" w:firstLine="0"/>
        <w:jc w:val="center"/>
      </w:pPr>
      <w:r>
        <w:object w:dxaOrig="7700" w:dyaOrig="4150">
          <v:shape id="_x0000_i1026" type="#_x0000_t75" style="width:385.15pt;height:207.15pt" o:ole="">
            <v:imagedata r:id="rId11" o:title=""/>
          </v:shape>
          <o:OLEObject Type="Embed" ProgID="Visio.Drawing.11" ShapeID="_x0000_i1026" DrawAspect="Content" ObjectID="_1608802418" r:id="rId12"/>
        </w:objec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t>Fig. 3 Segmentation of DFT based FD compression</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lastRenderedPageBreak/>
        <w:t>We compare the Performance</w:t>
      </w:r>
      <w:r>
        <w:rPr>
          <w:rFonts w:ascii="Times New Roman" w:eastAsia="微软雅黑" w:hAnsi="Times New Roman" w:cs="Times New Roman"/>
          <w:szCs w:val="20"/>
          <w:lang w:val="en-US"/>
        </w:rPr>
        <w:t>-Overhead</w:t>
      </w:r>
      <w:r>
        <w:rPr>
          <w:rFonts w:ascii="Times New Roman" w:eastAsia="微软雅黑" w:hAnsi="Times New Roman" w:cs="Times New Roman" w:hint="eastAsia"/>
          <w:szCs w:val="20"/>
          <w:lang w:val="en-US"/>
        </w:rPr>
        <w:t xml:space="preserve"> trade-off in the following</w:t>
      </w:r>
      <w:r>
        <w:rPr>
          <w:rFonts w:ascii="Times New Roman" w:eastAsia="微软雅黑" w:hAnsi="Times New Roman" w:cs="Times New Roman"/>
          <w:szCs w:val="20"/>
          <w:lang w:val="en-US"/>
        </w:rPr>
        <w:t xml:space="preserve"> Fig.4</w:t>
      </w:r>
      <w:r>
        <w:rPr>
          <w:rFonts w:ascii="Times New Roman" w:eastAsia="微软雅黑" w:hAnsi="Times New Roman" w:cs="Times New Roman" w:hint="eastAsia"/>
          <w:szCs w:val="20"/>
          <w:lang w:val="en-US"/>
        </w:rPr>
        <w:t xml:space="preserve"> for different FD unit size</w:t>
      </w:r>
      <w:r>
        <w:rPr>
          <w:rFonts w:ascii="Times New Roman" w:eastAsia="微软雅黑" w:hAnsi="Times New Roman" w:cs="Times New Roman"/>
          <w:szCs w:val="20"/>
          <w:lang w:val="en-US"/>
        </w:rPr>
        <w:t xml:space="preserve"> and segments</w:t>
      </w:r>
      <w:r>
        <w:rPr>
          <w:rFonts w:ascii="Times New Roman" w:eastAsia="微软雅黑" w:hAnsi="Times New Roman" w:cs="Times New Roman" w:hint="eastAsia"/>
          <w:szCs w:val="20"/>
          <w:lang w:val="en-US"/>
        </w:rPr>
        <w:t xml:space="preserve">. </w:t>
      </w:r>
      <w:r>
        <w:rPr>
          <w:rFonts w:ascii="Times New Roman" w:eastAsia="微软雅黑" w:hAnsi="Times New Roman" w:cs="Times New Roman"/>
          <w:szCs w:val="20"/>
          <w:lang w:val="en-US"/>
        </w:rPr>
        <w:t xml:space="preserve">The granularity of CQI is 1 sub-band, i.e., 4 RBs for 10MHz bandwidth with 15KHz SCS and 16 RBs for 40MHz BW with 30KHz SCS. In the simulation, </w:t>
      </w:r>
      <w:r>
        <w:rPr>
          <w:rFonts w:eastAsia="微软雅黑"/>
          <w:szCs w:val="20"/>
        </w:rPr>
        <w:t xml:space="preserve">all the coefficients after compression are reported with 3-bit phase and 3-bit amplitude. The number of M in each figure is from the set {2,3,4,5,6}. RU in this figure is around 70%. Type II in this figure is the Rel-15 Type II with </w:t>
      </w:r>
      <w:r w:rsidR="00EE08C2">
        <w:rPr>
          <w:rFonts w:eastAsia="微软雅黑"/>
          <w:szCs w:val="20"/>
        </w:rPr>
        <w:t>wideband</w:t>
      </w:r>
      <w:r>
        <w:rPr>
          <w:rFonts w:eastAsia="微软雅黑"/>
          <w:szCs w:val="20"/>
        </w:rPr>
        <w:t xml:space="preserve"> amplitude.</w:t>
      </w:r>
    </w:p>
    <w:p w:rsidR="00844EAB" w:rsidRDefault="00844EAB" w:rsidP="00844EAB">
      <w:pPr>
        <w:pStyle w:val="13"/>
        <w:snapToGrid w:val="0"/>
        <w:spacing w:before="120" w:afterLines="50" w:after="120"/>
        <w:ind w:leftChars="0" w:left="0" w:firstLine="0"/>
        <w:jc w:val="center"/>
      </w:pPr>
      <w:r>
        <w:rPr>
          <w:noProof/>
          <w:lang w:val="en-US"/>
        </w:rPr>
        <w:drawing>
          <wp:inline distT="0" distB="0" distL="114300" distR="114300" wp14:anchorId="6DD4FA53" wp14:editId="1E9430AD">
            <wp:extent cx="2970000" cy="1620000"/>
            <wp:effectExtent l="0" t="0" r="0" b="0"/>
            <wp:docPr id="9"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2970000" cy="1620000"/>
                    </a:xfrm>
                    <a:prstGeom prst="rect">
                      <a:avLst/>
                    </a:prstGeom>
                    <a:noFill/>
                    <a:ln>
                      <a:noFill/>
                    </a:ln>
                  </pic:spPr>
                </pic:pic>
              </a:graphicData>
            </a:graphic>
          </wp:inline>
        </w:drawing>
      </w:r>
      <w:r>
        <w:rPr>
          <w:noProof/>
          <w:lang w:val="en-US"/>
        </w:rPr>
        <w:drawing>
          <wp:inline distT="0" distB="0" distL="114300" distR="114300" wp14:anchorId="361C0D54" wp14:editId="6D3816FF">
            <wp:extent cx="2970000" cy="1620000"/>
            <wp:effectExtent l="0" t="0" r="0" b="0"/>
            <wp:docPr id="10"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2970000" cy="1620000"/>
                    </a:xfrm>
                    <a:prstGeom prst="rect">
                      <a:avLst/>
                    </a:prstGeom>
                    <a:noFill/>
                    <a:ln>
                      <a:noFill/>
                    </a:ln>
                  </pic:spPr>
                </pic:pic>
              </a:graphicData>
            </a:graphic>
          </wp:inline>
        </w:drawing>
      </w:r>
    </w:p>
    <w:p w:rsidR="00844EAB" w:rsidRDefault="00844EAB" w:rsidP="00844EAB">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(a) L=4,10MHz BW                                            (b) L=4, 40MHz BW</w:t>
      </w:r>
    </w:p>
    <w:p w:rsidR="00844EAB" w:rsidRDefault="00844EAB" w:rsidP="00844EAB">
      <w:pPr>
        <w:pStyle w:val="13"/>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114300" distR="114300" wp14:anchorId="1BD7196B" wp14:editId="25F6DD30">
            <wp:extent cx="2970000" cy="1620000"/>
            <wp:effectExtent l="0" t="0" r="0" b="0"/>
            <wp:docPr id="12"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2970000" cy="1620000"/>
                    </a:xfrm>
                    <a:prstGeom prst="rect">
                      <a:avLst/>
                    </a:prstGeom>
                    <a:noFill/>
                    <a:ln>
                      <a:noFill/>
                    </a:ln>
                  </pic:spPr>
                </pic:pic>
              </a:graphicData>
            </a:graphic>
          </wp:inline>
        </w:drawing>
      </w:r>
      <w:r>
        <w:rPr>
          <w:noProof/>
          <w:lang w:val="en-US"/>
        </w:rPr>
        <w:drawing>
          <wp:inline distT="0" distB="0" distL="114300" distR="114300" wp14:anchorId="0A904093" wp14:editId="5B09FB7A">
            <wp:extent cx="2970000" cy="1620000"/>
            <wp:effectExtent l="0" t="0" r="0" b="0"/>
            <wp:docPr id="17"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a:stretch>
                      <a:fillRect/>
                    </a:stretch>
                  </pic:blipFill>
                  <pic:spPr>
                    <a:xfrm>
                      <a:off x="0" y="0"/>
                      <a:ext cx="2970000" cy="1620000"/>
                    </a:xfrm>
                    <a:prstGeom prst="rect">
                      <a:avLst/>
                    </a:prstGeom>
                    <a:noFill/>
                    <a:ln>
                      <a:noFill/>
                    </a:ln>
                  </pic:spPr>
                </pic:pic>
              </a:graphicData>
            </a:graphic>
          </wp:inline>
        </w:drawing>
      </w:r>
    </w:p>
    <w:p w:rsidR="00844EAB" w:rsidRDefault="00844EAB" w:rsidP="00844EAB">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c</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L=3, 10MHz BW                                                   (d) L=3, 40MHz BW</w:t>
      </w:r>
    </w:p>
    <w:p w:rsidR="00844EAB" w:rsidRDefault="00844EAB" w:rsidP="00844EAB">
      <w:pPr>
        <w:pStyle w:val="13"/>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114300" distR="114300" wp14:anchorId="29015A61" wp14:editId="33F4F3A9">
            <wp:extent cx="2970000" cy="1620000"/>
            <wp:effectExtent l="0" t="0" r="0" b="0"/>
            <wp:docPr id="1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7"/>
                    <a:stretch>
                      <a:fillRect/>
                    </a:stretch>
                  </pic:blipFill>
                  <pic:spPr>
                    <a:xfrm>
                      <a:off x="0" y="0"/>
                      <a:ext cx="2970000" cy="1620000"/>
                    </a:xfrm>
                    <a:prstGeom prst="rect">
                      <a:avLst/>
                    </a:prstGeom>
                    <a:noFill/>
                    <a:ln>
                      <a:noFill/>
                    </a:ln>
                  </pic:spPr>
                </pic:pic>
              </a:graphicData>
            </a:graphic>
          </wp:inline>
        </w:drawing>
      </w:r>
      <w:r>
        <w:rPr>
          <w:noProof/>
          <w:lang w:val="en-US"/>
        </w:rPr>
        <w:drawing>
          <wp:inline distT="0" distB="0" distL="114300" distR="114300" wp14:anchorId="57346B9E" wp14:editId="11116258">
            <wp:extent cx="2970000" cy="1620000"/>
            <wp:effectExtent l="0" t="0" r="0" b="0"/>
            <wp:docPr id="16" name="图片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2970000" cy="1620000"/>
                    </a:xfrm>
                    <a:prstGeom prst="rect">
                      <a:avLst/>
                    </a:prstGeom>
                    <a:noFill/>
                    <a:ln>
                      <a:noFill/>
                    </a:ln>
                  </pic:spPr>
                </pic:pic>
              </a:graphicData>
            </a:graphic>
          </wp:inline>
        </w:drawing>
      </w:r>
    </w:p>
    <w:p w:rsidR="00844EAB" w:rsidRDefault="00844EAB" w:rsidP="00844EAB">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e</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 xml:space="preserve"> L=2, 10MHz BW                                                   (f) L=2, 40MHz BW</w:t>
      </w:r>
    </w:p>
    <w:p w:rsidR="00645458" w:rsidRDefault="00F16830" w:rsidP="0014310C">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Fig. 4 Performance-overhead trade-off for 10MHz</w:t>
      </w:r>
      <w:r>
        <w:rPr>
          <w:rFonts w:ascii="Times New Roman" w:eastAsia="微软雅黑" w:hAnsi="Times New Roman" w:cs="Times New Roman"/>
          <w:szCs w:val="20"/>
          <w:lang w:val="en-US"/>
        </w:rPr>
        <w:t xml:space="preserve"> BW and 40MHz BW</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It can be observed that</w:t>
      </w:r>
    </w:p>
    <w:p w:rsidR="00645458" w:rsidRDefault="00F16830">
      <w:pPr>
        <w:pStyle w:val="13"/>
        <w:numPr>
          <w:ilvl w:val="0"/>
          <w:numId w:val="7"/>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PMI FD unit smaller than CQI sub-band size can achieve significant performance gain with similar overhead. Smaller size of PMI FD unit can provide better Performance-Overhead trade-off.</w:t>
      </w:r>
    </w:p>
    <w:p w:rsidR="00645458" w:rsidRDefault="00F16830">
      <w:pPr>
        <w:pStyle w:val="13"/>
        <w:numPr>
          <w:ilvl w:val="0"/>
          <w:numId w:val="7"/>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Segmentation </w:t>
      </w:r>
      <w:r>
        <w:rPr>
          <w:rFonts w:ascii="Times New Roman" w:eastAsia="微软雅黑" w:hAnsi="Times New Roman" w:cs="Times New Roman"/>
          <w:szCs w:val="20"/>
          <w:lang w:val="en-US"/>
        </w:rPr>
        <w:t xml:space="preserve">can provide performance gain and better Performance-Overhead trade-off. For example, in Fig. 4(a), two segments with M = 2 can provide better performance than one segment with M = 6, and overhead of the former one is significantly smaller than the latter one. The reduced overhead is almost 200 bits. </w:t>
      </w:r>
    </w:p>
    <w:p w:rsidR="00645458" w:rsidRDefault="00F16830">
      <w:pPr>
        <w:pStyle w:val="13"/>
        <w:numPr>
          <w:ilvl w:val="0"/>
          <w:numId w:val="7"/>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the case of two segments, M larger than 3 will cause larger overhead than Rel-15 Type II.</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lastRenderedPageBreak/>
        <w:t>Observation 3:</w:t>
      </w:r>
      <w:r>
        <w:rPr>
          <w:rFonts w:ascii="Times New Roman" w:eastAsia="微软雅黑" w:hAnsi="Times New Roman" w:cs="Times New Roman"/>
          <w:i/>
          <w:szCs w:val="20"/>
          <w:lang w:val="en-US"/>
        </w:rPr>
        <w:t xml:space="preserve"> PMI FD unit smaller than CQI sub-band size can achieve significant performance gain with similar overhead. Smaller size of PMI FD unit can provide better Performance-Overhead trade-off.</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4</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can provide performance gain and better Performance-Overhead trade-off. Increasing the number of segments can provide better gain than increasing the number of FD basis vectors.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3</w:t>
      </w:r>
      <w:r>
        <w:rPr>
          <w:rFonts w:ascii="Times New Roman" w:eastAsia="微软雅黑" w:hAnsi="Times New Roman" w:cs="Times New Roman" w:hint="eastAsia"/>
          <w:b/>
          <w:i/>
          <w:szCs w:val="20"/>
          <w:lang w:val="en-US"/>
        </w:rPr>
        <w:t>:</w:t>
      </w:r>
      <w:r>
        <w:rPr>
          <w:rFonts w:ascii="Times New Roman" w:eastAsia="微软雅黑" w:hAnsi="Times New Roman" w:cs="Times New Roman"/>
          <w:i/>
          <w:szCs w:val="20"/>
          <w:lang w:val="en-US"/>
        </w:rPr>
        <w:t xml:space="preserve"> Support independent configuration of PMI FD unit size. The candidate values are {2,4,8,16} with restriction that PMI FD unit size &lt;= CQI sub-band size.</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4</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Pr>
          <w:rFonts w:ascii="Times New Roman" w:eastAsia="微软雅黑" w:hAnsi="Times New Roman" w:cs="Times New Roman"/>
          <w:i/>
          <w:szCs w:val="20"/>
          <w:lang w:val="en-US"/>
        </w:rPr>
        <w:t>For the CSI reporting band containing S PMI FD units, at least for M&lt;=3, support dividing the S FD units into two segments</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 xml:space="preserve">Segment 1 contains FD unit 1 to </w:t>
      </w:r>
      <m:oMath>
        <m:d>
          <m:dPr>
            <m:begChr m:val="⌈"/>
            <m:endChr m:val="⌉"/>
            <m:ctrlPr>
              <w:rPr>
                <w:rFonts w:ascii="Cambria Math" w:eastAsia="微软雅黑" w:hAnsi="Cambria Math" w:cs="Times New Roman"/>
                <w:szCs w:val="20"/>
                <w:lang w:val="en-US"/>
              </w:rPr>
            </m:ctrlPr>
          </m:dPr>
          <m:e>
            <m:r>
              <m:rPr>
                <m:sty m:val="p"/>
              </m:rPr>
              <w:rPr>
                <w:rFonts w:ascii="Cambria Math" w:eastAsia="微软雅黑" w:hAnsi="Cambria Math" w:cs="Times New Roman"/>
                <w:szCs w:val="20"/>
                <w:lang w:val="en-US"/>
              </w:rPr>
              <m:t>S/2</m:t>
            </m:r>
          </m:e>
        </m:d>
      </m:oMath>
      <w:r>
        <w:rPr>
          <w:rFonts w:ascii="Times New Roman" w:eastAsia="微软雅黑" w:hAnsi="Times New Roman" w:cs="Times New Roman"/>
          <w:i/>
          <w:szCs w:val="20"/>
          <w:lang w:val="en-US"/>
        </w:rPr>
        <w:t xml:space="preserve">, and Segment 2 contains FD unit </w:t>
      </w:r>
      <m:oMath>
        <m:d>
          <m:dPr>
            <m:begChr m:val="⌈"/>
            <m:endChr m:val="⌉"/>
            <m:ctrlPr>
              <w:rPr>
                <w:rFonts w:ascii="Cambria Math" w:eastAsia="微软雅黑" w:hAnsi="Cambria Math" w:cs="Times New Roman"/>
                <w:szCs w:val="20"/>
                <w:lang w:val="en-US"/>
              </w:rPr>
            </m:ctrlPr>
          </m:dPr>
          <m:e>
            <m:r>
              <m:rPr>
                <m:sty m:val="p"/>
              </m:rPr>
              <w:rPr>
                <w:rFonts w:ascii="Cambria Math" w:eastAsia="微软雅黑" w:hAnsi="Cambria Math" w:cs="Times New Roman"/>
                <w:szCs w:val="20"/>
                <w:lang w:val="en-US"/>
              </w:rPr>
              <m:t>S/2</m:t>
            </m:r>
          </m:e>
        </m:d>
      </m:oMath>
      <w:r>
        <w:rPr>
          <w:rFonts w:ascii="Times New Roman" w:eastAsia="微软雅黑" w:hAnsi="Times New Roman" w:cs="Times New Roman"/>
          <w:i/>
          <w:szCs w:val="20"/>
          <w:lang w:val="en-US"/>
        </w:rPr>
        <w:t xml:space="preserve">+1 to S. </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 xml:space="preserve">One FD compression is performed on one segment. </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length of FD compression vector is the number of FD units contained in each segment.</w:t>
      </w:r>
    </w:p>
    <w:p w:rsidR="00645458" w:rsidRDefault="00F16830">
      <w:pPr>
        <w:snapToGrid w:val="0"/>
        <w:spacing w:before="120" w:afterLines="50" w:after="120" w:line="240" w:lineRule="auto"/>
        <w:jc w:val="both"/>
        <w:rPr>
          <w:rFonts w:eastAsia="微软雅黑"/>
          <w:b/>
        </w:rPr>
      </w:pPr>
      <w:r>
        <w:rPr>
          <w:rFonts w:eastAsia="微软雅黑" w:hint="eastAsia"/>
          <w:b/>
        </w:rPr>
        <w:t>2.</w:t>
      </w:r>
      <w:r>
        <w:rPr>
          <w:rFonts w:eastAsia="微软雅黑"/>
          <w:b/>
        </w:rPr>
        <w:t>4</w:t>
      </w:r>
      <w:r>
        <w:rPr>
          <w:rFonts w:eastAsia="微软雅黑" w:hint="eastAsia"/>
          <w:b/>
        </w:rPr>
        <w:t xml:space="preserve"> </w:t>
      </w:r>
      <w:r>
        <w:rPr>
          <w:rFonts w:eastAsia="微软雅黑"/>
          <w:b/>
        </w:rPr>
        <w:t>Quantization</w:t>
      </w:r>
      <w:r>
        <w:rPr>
          <w:rFonts w:eastAsia="微软雅黑" w:hint="eastAsia"/>
          <w:b/>
        </w:rPr>
        <w:t xml:space="preserve"> of </w:t>
      </w:r>
      <w:r>
        <w:rPr>
          <w:rFonts w:eastAsia="微软雅黑"/>
          <w:b/>
        </w:rPr>
        <w:t>coefficients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following two alternatives are proposed in previous meetings on the quantization of the </w:t>
      </w:r>
      <w:r>
        <w:rPr>
          <w:rFonts w:ascii="Times New Roman" w:eastAsia="微软雅黑" w:hAnsi="Times New Roman" w:cs="Times New Roman"/>
          <w:szCs w:val="20"/>
          <w:lang w:val="en-US"/>
        </w:rPr>
        <w:t xml:space="preserve">coefficients </w:t>
      </w:r>
      <m:oMath>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lang w:val="en-US"/>
        </w:rPr>
        <w:t>after compression.</w:t>
      </w:r>
    </w:p>
    <w:p w:rsidR="00645458" w:rsidRDefault="00F16830">
      <w:pPr>
        <w:pStyle w:val="20"/>
        <w:rPr>
          <w:sz w:val="20"/>
          <w:szCs w:val="20"/>
        </w:rPr>
      </w:pPr>
      <w:r>
        <w:rPr>
          <w:rFonts w:eastAsia="微软雅黑"/>
          <w:szCs w:val="20"/>
        </w:rPr>
        <w:t>Alt 1:</w:t>
      </w:r>
      <w:r>
        <w:rPr>
          <w:rFonts w:eastAsia="微软雅黑"/>
          <w:sz w:val="20"/>
          <w:szCs w:val="20"/>
        </w:rPr>
        <w:t xml:space="preserve"> </w:t>
      </w:r>
      <w:r>
        <w:rPr>
          <w:sz w:val="20"/>
          <w:szCs w:val="20"/>
        </w:rPr>
        <w:t>Rel.15 3-bit amplitude; Rel.15 QPSK and 8PSK co-phasing</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Alt 2: Rel.15 3-bit wideband amplitude for each beam, 2-bit differential amplitude for FD coefficients; Rel.15 QPSK and 8PSK co-phasing</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For Alt 1, the </w:t>
      </w:r>
      <w:r>
        <w:rPr>
          <w:rFonts w:ascii="Times New Roman" w:eastAsia="微软雅黑" w:hAnsi="Times New Roman" w:cs="Times New Roman"/>
          <w:szCs w:val="20"/>
          <w:lang w:val="en-US"/>
        </w:rPr>
        <w:t>amplitudes of the coefficients are quantized based on the normalization upon the entire 2L*M matrix. The normalized coefficient matrix is</w:t>
      </w:r>
    </w:p>
    <w:p w:rsidR="00645458" w:rsidRDefault="002F0DBA">
      <w:pPr>
        <w:pStyle w:val="13"/>
        <w:snapToGrid w:val="0"/>
        <w:spacing w:before="120" w:afterLines="50" w:after="120"/>
        <w:ind w:leftChars="0" w:left="0" w:firstLine="0"/>
        <w:jc w:val="both"/>
        <w:rPr>
          <w:rFonts w:ascii="Times New Roman" w:eastAsia="微软雅黑" w:hAnsi="Times New Roman" w:cs="Times New Roman"/>
          <w:szCs w:val="20"/>
          <w:lang w:val="en-US"/>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hint="eastAsia"/>
          <w:szCs w:val="20"/>
          <w:lang w:val="en-US"/>
        </w:rPr>
        <w:t xml:space="preserve">The entries of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1</m:t>
            </m:r>
          </m:sub>
        </m:sSub>
      </m:oMath>
      <w:r>
        <w:rPr>
          <w:rFonts w:ascii="Times New Roman" w:eastAsia="微软雅黑" w:hAnsi="Times New Roman" w:cs="Times New Roman" w:hint="eastAsia"/>
          <w:szCs w:val="20"/>
        </w:rPr>
        <w:t xml:space="preserve"> are quantized in [</w:t>
      </w:r>
      <w:r>
        <w:rPr>
          <w:rFonts w:ascii="Times New Roman" w:eastAsia="微软雅黑" w:hAnsi="Times New Roman" w:cs="Times New Roman"/>
          <w:szCs w:val="20"/>
        </w:rPr>
        <w:t>0,1</w:t>
      </w:r>
      <w:r>
        <w:rPr>
          <w:rFonts w:ascii="Times New Roman" w:eastAsia="微软雅黑" w:hAnsi="Times New Roman" w:cs="Times New Roman" w:hint="eastAsia"/>
          <w:szCs w:val="20"/>
        </w:rPr>
        <w:t>]</w:t>
      </w:r>
      <w:r>
        <w:rPr>
          <w:rFonts w:ascii="Times New Roman" w:eastAsia="微软雅黑" w:hAnsi="Times New Roman" w:cs="Times New Roman"/>
          <w:szCs w:val="20"/>
        </w:rPr>
        <w:t xml:space="preserve">. As the final precoder will be normalized, the product of the </w:t>
      </w:r>
      <m:oMath>
        <m:f>
          <m:fPr>
            <m:ctrlPr>
              <w:rPr>
                <w:rFonts w:ascii="Cambria Math" w:eastAsia="微软雅黑" w:hAnsi="Cambria Math"/>
                <w:i/>
                <w:szCs w:val="20"/>
              </w:rPr>
            </m:ctrlPr>
          </m:fPr>
          <m:num>
            <m:r>
              <w:rPr>
                <w:rFonts w:ascii="Cambria Math" w:eastAsia="微软雅黑" w:hAnsi="Cambria Math"/>
                <w:szCs w:val="20"/>
              </w:rPr>
              <m:t>1</m:t>
            </m:r>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ctrlPr>
                  <w:rPr>
                    <w:rFonts w:ascii="Cambria Math" w:eastAsia="微软雅黑" w:hAnsi="Cambria Math"/>
                    <w:i/>
                    <w:szCs w:val="20"/>
                  </w:rPr>
                </m:ctrlPr>
              </m:e>
            </m:func>
            <m:r>
              <m:rPr>
                <m:sty m:val="p"/>
              </m:rPr>
              <w:rPr>
                <w:rFonts w:ascii="Cambria Math" w:eastAsia="微软雅黑" w:hAnsi="Cambria Math"/>
                <w:szCs w:val="20"/>
              </w:rPr>
              <m:t>⁡</m:t>
            </m:r>
          </m:den>
        </m:f>
      </m:oMath>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does</w:t>
      </w:r>
      <w:r>
        <w:rPr>
          <w:rFonts w:ascii="Times New Roman" w:eastAsia="微软雅黑" w:hAnsi="Times New Roman" w:cs="Times New Roman" w:hint="eastAsia"/>
          <w:szCs w:val="20"/>
        </w:rPr>
        <w:t xml:space="preserve"> not </w:t>
      </w:r>
      <w:r>
        <w:rPr>
          <w:rFonts w:ascii="Times New Roman" w:eastAsia="微软雅黑" w:hAnsi="Times New Roman" w:cs="Times New Roman"/>
          <w:szCs w:val="20"/>
        </w:rPr>
        <w:t xml:space="preserve">impact the final precoder. </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rPr>
      </w:pPr>
      <w:r>
        <w:rPr>
          <w:rFonts w:ascii="Times New Roman" w:eastAsia="微软雅黑" w:hAnsi="Times New Roman" w:cs="Times New Roman"/>
          <w:szCs w:val="20"/>
        </w:rPr>
        <w:t>For Alt 2, the amplitudes of the coefficients are quantized based on the normalization upon each row in the 2L*M matrix.</w:t>
      </w:r>
      <w:r>
        <w:rPr>
          <w:rFonts w:ascii="Times New Roman" w:eastAsia="微软雅黑" w:hAnsi="Times New Roman" w:cs="Times New Roman" w:hint="eastAsia"/>
          <w:szCs w:val="20"/>
        </w:rPr>
        <w:t xml:space="preserve"> </w:t>
      </w:r>
      <w:r>
        <w:rPr>
          <w:rFonts w:ascii="Times New Roman" w:eastAsia="微软雅黑" w:hAnsi="Times New Roman" w:cs="Times New Roman"/>
          <w:szCs w:val="20"/>
        </w:rPr>
        <w:t>The normalized coefficient matrix is</w:t>
      </w:r>
    </w:p>
    <w:p w:rsidR="00645458" w:rsidRDefault="002F0DBA">
      <w:pPr>
        <w:pStyle w:val="13"/>
        <w:snapToGrid w:val="0"/>
        <w:spacing w:before="120" w:afterLines="50" w:after="120"/>
        <w:ind w:leftChars="0" w:left="0" w:firstLine="0"/>
        <w:jc w:val="both"/>
        <w:rPr>
          <w:rFonts w:ascii="Times New Roman" w:eastAsia="微软雅黑" w:hAnsi="Times New Roman" w:cs="Times New Roman"/>
          <w:szCs w:val="20"/>
        </w:rPr>
      </w:pPr>
      <m:oMathPara>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r>
            <w:rPr>
              <w:rFonts w:ascii="Cambria Math" w:eastAsia="微软雅黑" w:hAnsi="Cambria Math"/>
              <w:szCs w:val="20"/>
            </w:rPr>
            <m:t>=</m:t>
          </m:r>
          <m:d>
            <m:dPr>
              <m:begChr m:val="["/>
              <m:endChr m:val="]"/>
              <m:ctrlPr>
                <w:rPr>
                  <w:rFonts w:ascii="Cambria Math" w:eastAsia="微软雅黑" w:hAnsi="Cambria Math"/>
                  <w:i/>
                  <w:szCs w:val="20"/>
                </w:rPr>
              </m:ctrlPr>
            </m:dPr>
            <m:e>
              <m:m>
                <m:mPr>
                  <m:plcHide m:val="1"/>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e>
                        </m:func>
                      </m:den>
                    </m:f>
                  </m:e>
                  <m:e/>
                  <m:e/>
                </m:mr>
                <m:mr>
                  <m:e/>
                  <m:e>
                    <m:r>
                      <w:rPr>
                        <w:rFonts w:ascii="Cambria Math" w:eastAsia="微软雅黑" w:hAnsi="Cambria Math"/>
                        <w:szCs w:val="20"/>
                      </w:rPr>
                      <m:t>⋱</m:t>
                    </m:r>
                  </m:e>
                  <m:e/>
                </m:mr>
                <m:mr>
                  <m:e/>
                  <m:e/>
                  <m:e>
                    <m:f>
                      <m:fPr>
                        <m:ctrlPr>
                          <w:rPr>
                            <w:rFonts w:ascii="Cambria Math" w:eastAsia="微软雅黑" w:hAnsi="Cambria Math"/>
                            <w:i/>
                            <w:szCs w:val="20"/>
                          </w:rPr>
                        </m:ctrlPr>
                      </m:fPr>
                      <m:num>
                        <m:func>
                          <m:funcPr>
                            <m:ctrlPr>
                              <w:rPr>
                                <w:rFonts w:ascii="Cambria Math" w:eastAsia="微软雅黑" w:hAnsi="Cambria Math"/>
                                <w:i/>
                                <w:szCs w:val="20"/>
                              </w:rPr>
                            </m:ctrlPr>
                          </m:funcPr>
                          <m:fName>
                            <m:limLow>
                              <m:limLowPr>
                                <m:ctrlPr>
                                  <w:rPr>
                                    <w:rFonts w:ascii="Cambria Math" w:eastAsia="微软雅黑" w:hAnsi="Cambria Math"/>
                                    <w:i/>
                                    <w:szCs w:val="20"/>
                                  </w:rPr>
                                </m:ctrlPr>
                              </m:limLowPr>
                              <m:e>
                                <m:r>
                                  <m:rPr>
                                    <m:sty m:val="p"/>
                                  </m:rPr>
                                  <w:rPr>
                                    <w:rFonts w:ascii="Cambria Math" w:eastAsia="微软雅黑" w:hAnsi="Cambria Math"/>
                                    <w:szCs w:val="20"/>
                                  </w:rPr>
                                  <m:t>max</m:t>
                                </m:r>
                                <m:ctrlPr>
                                  <w:rPr>
                                    <w:rFonts w:ascii="Cambria Math" w:eastAsia="微软雅黑" w:hAnsi="Cambria Math"/>
                                    <w:szCs w:val="20"/>
                                  </w:rPr>
                                </m:ctrlPr>
                              </m:e>
                              <m:lim>
                                <m:r>
                                  <w:rPr>
                                    <w:rFonts w:ascii="Cambria Math" w:eastAsia="微软雅黑" w:hAnsi="Cambria Math"/>
                                    <w:szCs w:val="20"/>
                                  </w:rPr>
                                  <m:t>m</m:t>
                                </m:r>
                                <m:ctrlPr>
                                  <w:rPr>
                                    <w:rFonts w:ascii="Cambria Math" w:eastAsia="微软雅黑" w:hAnsi="Cambria Math"/>
                                    <w:szCs w:val="20"/>
                                  </w:rPr>
                                </m:ctrlP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func>
                      </m:num>
                      <m:den>
                        <m:func>
                          <m:funcPr>
                            <m:ctrlPr>
                              <w:rPr>
                                <w:rFonts w:ascii="Cambria Math" w:eastAsia="微软雅黑" w:hAnsi="Cambria Math"/>
                                <w:i/>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l,m</m:t>
                                </m:r>
                              </m:lim>
                            </m:limLow>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l,m</m:t>
                                </m:r>
                              </m:sub>
                            </m:sSub>
                          </m:e>
                        </m:func>
                      </m:den>
                    </m:f>
                  </m:e>
                </m:mr>
              </m:m>
            </m:e>
          </m:d>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ctrlPr>
                              <w:rPr>
                                <w:rFonts w:ascii="Cambria Math" w:eastAsia="微软雅黑" w:hAnsi="Cambria Math"/>
                                <w:i/>
                                <w:szCs w:val="20"/>
                              </w:rPr>
                            </m:ctrlPr>
                          </m:e>
                        </m:func>
                        <m:r>
                          <m:rPr>
                            <m:sty m:val="p"/>
                          </m:rPr>
                          <w:rPr>
                            <w:rFonts w:ascii="Cambria Math" w:eastAsia="微软雅黑" w:hAnsi="Cambria Math"/>
                            <w:szCs w:val="20"/>
                          </w:rPr>
                          <m:t>⁡</m:t>
                        </m:r>
                      </m:den>
                    </m:f>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ctrlPr>
                              <w:rPr>
                                <w:rFonts w:ascii="Cambria Math" w:eastAsia="微软雅黑" w:hAnsi="Cambria Math"/>
                                <w:i/>
                                <w:szCs w:val="20"/>
                              </w:rPr>
                            </m:ctrlPr>
                          </m:e>
                        </m:func>
                        <m:r>
                          <m:rPr>
                            <m:sty m:val="p"/>
                          </m:rPr>
                          <w:rPr>
                            <w:rFonts w:ascii="Cambria Math" w:eastAsia="微软雅黑" w:hAnsi="Cambria Math"/>
                            <w:szCs w:val="20"/>
                          </w:rPr>
                          <m:t>⁡</m:t>
                        </m:r>
                      </m:den>
                    </m:f>
                  </m:e>
                  <m:e>
                    <m:r>
                      <w:rPr>
                        <w:rFonts w:ascii="Cambria Math" w:eastAsia="微软雅黑" w:hAnsi="Cambria Math"/>
                        <w:szCs w:val="20"/>
                      </w:rPr>
                      <m:t>⋯</m:t>
                    </m:r>
                  </m:e>
                  <m:e>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num>
                      <m:den>
                        <m:func>
                          <m:funcPr>
                            <m:ctrlPr>
                              <w:rPr>
                                <w:rFonts w:ascii="Cambria Math" w:eastAsia="微软雅黑" w:hAnsi="Cambria Math"/>
                                <w:szCs w:val="20"/>
                              </w:rPr>
                            </m:ctrlPr>
                          </m:funcPr>
                          <m:fName>
                            <m:limLow>
                              <m:limLowPr>
                                <m:ctrlPr>
                                  <w:rPr>
                                    <w:rFonts w:ascii="Cambria Math" w:eastAsia="微软雅黑" w:hAnsi="Cambria Math"/>
                                    <w:szCs w:val="20"/>
                                  </w:rPr>
                                </m:ctrlPr>
                              </m:limLowPr>
                              <m:e>
                                <m:r>
                                  <m:rPr>
                                    <m:sty m:val="p"/>
                                  </m:rPr>
                                  <w:rPr>
                                    <w:rFonts w:ascii="Cambria Math" w:eastAsia="微软雅黑" w:hAnsi="Cambria Math"/>
                                    <w:szCs w:val="20"/>
                                  </w:rPr>
                                  <m:t>max</m:t>
                                </m:r>
                              </m:e>
                              <m:lim>
                                <m:r>
                                  <w:rPr>
                                    <w:rFonts w:ascii="Cambria Math" w:eastAsia="微软雅黑" w:hAnsi="Cambria Math"/>
                                    <w:szCs w:val="20"/>
                                  </w:rPr>
                                  <m:t>m</m:t>
                                </m:r>
                              </m:lim>
                            </m:limLow>
                            <m:ctrlPr>
                              <w:rPr>
                                <w:rFonts w:ascii="Cambria Math" w:eastAsia="微软雅黑" w:hAnsi="Cambria Math"/>
                                <w:i/>
                                <w:szCs w:val="20"/>
                              </w:rPr>
                            </m:ctrlPr>
                          </m:fNa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ctrlPr>
                              <w:rPr>
                                <w:rFonts w:ascii="Cambria Math" w:eastAsia="微软雅黑" w:hAnsi="Cambria Math"/>
                                <w:i/>
                                <w:szCs w:val="20"/>
                              </w:rPr>
                            </m:ctrlPr>
                          </m:e>
                        </m:func>
                        <m:r>
                          <m:rPr>
                            <m:sty m:val="p"/>
                          </m:rPr>
                          <w:rPr>
                            <w:rFonts w:ascii="Cambria Math" w:eastAsia="微软雅黑" w:hAnsi="Cambria Math"/>
                            <w:szCs w:val="20"/>
                          </w:rPr>
                          <m:t>⁡</m:t>
                        </m:r>
                      </m:den>
                    </m:f>
                  </m:e>
                </m:mr>
              </m:m>
            </m:e>
          </m:d>
        </m:oMath>
      </m:oMathPara>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final precoder derived from </w:t>
      </w:r>
      <m:oMath>
        <m:sSub>
          <m:sSubPr>
            <m:ctrlPr>
              <w:rPr>
                <w:rFonts w:ascii="Cambria Math" w:eastAsia="微软雅黑" w:hAnsi="Cambria Math"/>
                <w:i/>
                <w:szCs w:val="20"/>
              </w:rPr>
            </m:ctrlPr>
          </m:sSubPr>
          <m:e>
            <m:acc>
              <m:accPr>
                <m:chr m:val="̃"/>
                <m:ctrlPr>
                  <w:rPr>
                    <w:rFonts w:ascii="Cambria Math" w:eastAsia="微软雅黑" w:hAnsi="Cambria Math"/>
                    <w:i/>
                    <w:szCs w:val="20"/>
                  </w:rPr>
                </m:ctrlPr>
              </m:accPr>
              <m:e>
                <m:r>
                  <m:rPr>
                    <m:sty m:val="bi"/>
                  </m:rPr>
                  <w:rPr>
                    <w:rFonts w:ascii="Cambria Math" w:eastAsia="微软雅黑" w:hAnsi="Cambria Math"/>
                    <w:szCs w:val="20"/>
                  </w:rPr>
                  <m:t>C</m:t>
                </m:r>
              </m:e>
            </m:acc>
          </m:e>
          <m:sub>
            <m:r>
              <w:rPr>
                <w:rFonts w:ascii="Cambria Math" w:eastAsia="微软雅黑" w:hAnsi="Cambria Math"/>
                <w:szCs w:val="20"/>
              </w:rPr>
              <m:t>2</m:t>
            </m:r>
          </m:sub>
        </m:sSub>
      </m:oMath>
      <w:r>
        <w:rPr>
          <w:rFonts w:ascii="Times New Roman" w:eastAsia="微软雅黑" w:hAnsi="Times New Roman" w:cs="Times New Roman" w:hint="eastAsia"/>
          <w:szCs w:val="20"/>
        </w:rPr>
        <w:t xml:space="preserve"> is same as the </w:t>
      </w:r>
      <w:r>
        <w:rPr>
          <w:rFonts w:ascii="Times New Roman" w:eastAsia="微软雅黑" w:hAnsi="Times New Roman" w:cs="Times New Roman"/>
          <w:szCs w:val="20"/>
        </w:rPr>
        <w:t xml:space="preserve">precoder derived from the original coefficient matrix without quantization. The diagonal entries in the left-hand matrix is quantized in [0,1] as wideband amplitude for each beam, and the right-had matrix is quantized in [0,1] as </w:t>
      </w:r>
      <w:r>
        <w:rPr>
          <w:rFonts w:ascii="Times New Roman" w:eastAsia="微软雅黑" w:hAnsi="Times New Roman" w:cs="Times New Roman"/>
          <w:szCs w:val="20"/>
          <w:lang w:val="en-US"/>
        </w:rPr>
        <w:t xml:space="preserve">differential amplitudes for FD coefficients. </w:t>
      </w:r>
    </w:p>
    <w:p w:rsidR="00645458" w:rsidRDefault="00F16830">
      <w:pPr>
        <w:jc w:val="center"/>
        <w:rPr>
          <w:sz w:val="21"/>
          <w:szCs w:val="21"/>
        </w:rPr>
      </w:pPr>
      <w:r>
        <w:rPr>
          <w:noProof/>
        </w:rPr>
        <w:lastRenderedPageBreak/>
        <w:drawing>
          <wp:inline distT="0" distB="0" distL="0" distR="0">
            <wp:extent cx="3060065" cy="2292350"/>
            <wp:effectExtent l="0" t="0" r="6985" b="0"/>
            <wp:docPr id="3" name="图片 3" descr="C:\Users\10190484\AppData\Local\Temp\ksohtml\wpsCF9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90484\AppData\Local\Temp\ksohtml\wpsCF90.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065494" cy="2296076"/>
                    </a:xfrm>
                    <a:prstGeom prst="rect">
                      <a:avLst/>
                    </a:prstGeom>
                    <a:noFill/>
                    <a:ln>
                      <a:noFill/>
                    </a:ln>
                  </pic:spPr>
                </pic:pic>
              </a:graphicData>
            </a:graphic>
          </wp:inline>
        </w:drawing>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Fig. 5 </w:t>
      </w:r>
      <w:r>
        <w:rPr>
          <w:rFonts w:ascii="Times New Roman" w:eastAsia="微软雅黑" w:hAnsi="Times New Roman" w:cs="Times New Roman"/>
          <w:szCs w:val="20"/>
          <w:lang w:val="en-US"/>
        </w:rPr>
        <w:t>Amplitude PDF of the entries of the 2L*M matrix in Alt 2</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Comparing Alt 1 and Alt 2, the value range of the entries in the quantized 2L*M matrix of Alt 2 is smaller than Alt 1. In addition, the value distribution of Alt 2 will be flatter. Hence Alt 2 can achieve better quantization accuracy. For example, the following Fig. 5 shows the amplitude PDF of the entries in the 2L*M matrix for Alt 2. It can be observed that except the entries with value 1, the other entries is distributed flatly in the range [0,1]. </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We simulate the above two Alts in the following Fig. 6. We plot the results for M=4 and M=5. The curve for each M consist of L values {2,3,4}. The alphabet of the 2-bit differential amplitude is {0, 1/3, 2/3, 1}. The performance of 100% is the performance of L=2 with Alt 1. </w: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extent cx="4583430" cy="2761615"/>
            <wp:effectExtent l="0" t="0" r="7620" b="6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a</w:t>
      </w:r>
      <w:r>
        <w:rPr>
          <w:rFonts w:ascii="Times New Roman" w:eastAsia="微软雅黑" w:hAnsi="Times New Roman" w:cs="Times New Roman" w:hint="eastAsia"/>
          <w:szCs w:val="20"/>
          <w:lang w:val="en-US"/>
        </w:rPr>
        <w:t>)</w: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lastRenderedPageBreak/>
        <w:drawing>
          <wp:inline distT="0" distB="0" distL="0" distR="0">
            <wp:extent cx="4581525" cy="2761615"/>
            <wp:effectExtent l="0" t="0" r="9525" b="6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b</w:t>
      </w:r>
      <w:r>
        <w:rPr>
          <w:rFonts w:ascii="Times New Roman" w:eastAsia="微软雅黑" w:hAnsi="Times New Roman" w:cs="Times New Roman" w:hint="eastAsia"/>
          <w:szCs w:val="20"/>
          <w:lang w:val="en-US"/>
        </w:rPr>
        <w:t>)</w: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Fig. 6 Comparison of different quantization schemes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It can be observed in Fig. </w:t>
      </w:r>
      <w:r>
        <w:rPr>
          <w:rFonts w:ascii="Times New Roman" w:eastAsia="微软雅黑" w:hAnsi="Times New Roman" w:cs="Times New Roman"/>
          <w:szCs w:val="20"/>
          <w:lang w:val="en-US"/>
        </w:rPr>
        <w:t>6 that Alt 2 can provide better Performance-Overhead trade-off. For example, with the same throughput performance, Alt 2 can achieve 30-40 bits overhead reduction.</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5:</w:t>
      </w:r>
      <w:r>
        <w:rPr>
          <w:rFonts w:ascii="Times New Roman" w:eastAsia="微软雅黑" w:hAnsi="Times New Roman" w:cs="Times New Roman"/>
          <w:i/>
          <w:szCs w:val="20"/>
          <w:lang w:val="en-US"/>
        </w:rPr>
        <w:t xml:space="preserve"> Quantization approach Alt 2 can achieve better Performance-Overhead trade-off than Alt 1.</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5</w:t>
      </w:r>
      <w:r>
        <w:rPr>
          <w:rFonts w:ascii="Times New Roman" w:eastAsia="微软雅黑" w:hAnsi="Times New Roman" w:cs="Times New Roman" w:hint="eastAsia"/>
          <w:b/>
          <w:i/>
          <w:szCs w:val="20"/>
          <w:lang w:val="en-US"/>
        </w:rPr>
        <w:t xml:space="preserve">: </w:t>
      </w:r>
      <w:r>
        <w:rPr>
          <w:rFonts w:ascii="Times New Roman" w:eastAsia="微软雅黑" w:hAnsi="Times New Roman" w:cs="Times New Roman"/>
          <w:i/>
          <w:szCs w:val="20"/>
          <w:lang w:val="en-US"/>
        </w:rPr>
        <w:t>For the coefficient quantization after compression, support Alt 2: Rel.15 3-bit wideband amplitude for each beam, 2-bit differential amplitude for FD coefficients; Rel.15 QPSK and 8PSK co-phasing.</w:t>
      </w:r>
    </w:p>
    <w:p w:rsidR="00645458" w:rsidRDefault="00F16830">
      <w:pPr>
        <w:snapToGrid w:val="0"/>
        <w:spacing w:before="120" w:afterLines="50" w:after="120" w:line="240" w:lineRule="auto"/>
        <w:jc w:val="both"/>
        <w:rPr>
          <w:rFonts w:eastAsia="微软雅黑"/>
          <w:b/>
        </w:rPr>
      </w:pPr>
      <w:r>
        <w:rPr>
          <w:rFonts w:eastAsia="微软雅黑"/>
          <w:b/>
        </w:rPr>
        <w:t>2.5 Coefficient subset selection</w:t>
      </w:r>
    </w:p>
    <w:p w:rsidR="00645458" w:rsidRPr="007B1EC7"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In previous meeting, </w:t>
      </w:r>
      <w:r w:rsidRPr="007B1EC7">
        <w:rPr>
          <w:rFonts w:ascii="Times New Roman" w:eastAsia="微软雅黑" w:hAnsi="Times New Roman" w:cs="Times New Roman"/>
          <w:szCs w:val="20"/>
          <w:lang w:val="en-US"/>
        </w:rPr>
        <w:t>the following alternatives are proposed on the selection of a subset of the coefficient matrix for common basis vectors.</w:t>
      </w:r>
    </w:p>
    <w:p w:rsidR="00645458" w:rsidRPr="007B1EC7"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Alt A: All the entries in the coefficient matrix are reported</w:t>
      </w:r>
    </w:p>
    <w:p w:rsidR="00645458" w:rsidRPr="007B1EC7"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Alt B: A subset of the entries in the coefficient matrix are reported</w:t>
      </w:r>
    </w:p>
    <w:p w:rsidR="00A97694" w:rsidRPr="007B1EC7" w:rsidRDefault="001C2ECF">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 xml:space="preserve">For Alt-B, in the </w:t>
      </w:r>
      <w:r w:rsidR="00121AF1" w:rsidRPr="007B1EC7">
        <w:rPr>
          <w:rFonts w:ascii="Times New Roman" w:eastAsia="微软雅黑" w:hAnsi="Times New Roman" w:cs="Times New Roman"/>
          <w:szCs w:val="20"/>
          <w:lang w:val="en-US"/>
        </w:rPr>
        <w:t xml:space="preserve">following 2L*M coefficient matrix </w:t>
      </w:r>
      <w:r w:rsidR="00121AF1" w:rsidRPr="007B1EC7">
        <w:rPr>
          <w:rFonts w:ascii="Times New Roman" w:eastAsia="微软雅黑" w:hAnsi="Times New Roman" w:cs="Times New Roman"/>
          <w:b/>
          <w:szCs w:val="20"/>
          <w:lang w:val="en-US"/>
        </w:rPr>
        <w:t>C</w:t>
      </w:r>
      <w:r w:rsidR="00121AF1" w:rsidRPr="007B1EC7">
        <w:rPr>
          <w:rFonts w:ascii="Times New Roman" w:eastAsia="微软雅黑" w:hAnsi="Times New Roman" w:cs="Times New Roman"/>
          <w:szCs w:val="20"/>
          <w:lang w:val="en-US"/>
        </w:rPr>
        <w:t xml:space="preserve">, only a subset of the entries are quantized and reported, and the other entries are set as 0. By doing this, report overhead for the </w:t>
      </w:r>
      <w:r w:rsidR="00121AF1" w:rsidRPr="007B1EC7">
        <w:rPr>
          <w:rFonts w:ascii="Times New Roman" w:eastAsia="微软雅黑" w:hAnsi="Times New Roman" w:cs="Times New Roman"/>
          <w:b/>
          <w:szCs w:val="20"/>
          <w:lang w:val="en-US"/>
        </w:rPr>
        <w:t>C</w:t>
      </w:r>
      <w:r w:rsidR="00121AF1" w:rsidRPr="007B1EC7">
        <w:rPr>
          <w:rFonts w:ascii="Times New Roman" w:eastAsia="微软雅黑" w:hAnsi="Times New Roman" w:cs="Times New Roman"/>
          <w:szCs w:val="20"/>
          <w:lang w:val="en-US"/>
        </w:rPr>
        <w:t xml:space="preserve"> matrix can be reduced. </w:t>
      </w:r>
    </w:p>
    <w:p w:rsidR="00121AF1" w:rsidRPr="007B1EC7" w:rsidRDefault="00121AF1">
      <w:pPr>
        <w:pStyle w:val="13"/>
        <w:snapToGrid w:val="0"/>
        <w:spacing w:before="120" w:afterLines="50" w:after="120"/>
        <w:ind w:leftChars="0" w:left="0" w:firstLine="0"/>
        <w:jc w:val="both"/>
        <w:rPr>
          <w:rFonts w:ascii="Times New Roman" w:eastAsia="微软雅黑" w:hAnsi="Times New Roman" w:cs="Times New Roman"/>
          <w:szCs w:val="20"/>
          <w:lang w:val="en-US"/>
        </w:rPr>
      </w:pPr>
      <m:oMathPara>
        <m:oMath>
          <m:r>
            <m:rPr>
              <m:sty m:val="bi"/>
            </m:rPr>
            <w:rPr>
              <w:rFonts w:ascii="Cambria Math" w:eastAsia="微软雅黑" w:hAnsi="Cambria Math"/>
              <w:szCs w:val="20"/>
            </w:rPr>
            <m:t>C</m:t>
          </m:r>
          <m:r>
            <w:rPr>
              <w:rFonts w:ascii="Cambria Math" w:eastAsia="微软雅黑" w:hAnsi="Cambria Math"/>
              <w:szCs w:val="20"/>
            </w:rPr>
            <m:t>=</m:t>
          </m:r>
          <m:d>
            <m:dPr>
              <m:begChr m:val="["/>
              <m:endChr m:val="]"/>
              <m:ctrlPr>
                <w:rPr>
                  <w:rFonts w:ascii="Cambria Math" w:eastAsia="微软雅黑" w:hAnsi="Cambria Math"/>
                  <w:i/>
                  <w:szCs w:val="20"/>
                </w:rPr>
              </m:ctrlPr>
            </m:dPr>
            <m:e>
              <m:m>
                <m:mPr>
                  <m:mcs>
                    <m:mc>
                      <m:mcPr>
                        <m:count m:val="3"/>
                        <m:mcJc m:val="center"/>
                      </m:mcPr>
                    </m:mc>
                  </m:mcs>
                  <m:ctrlPr>
                    <w:rPr>
                      <w:rFonts w:ascii="Cambria Math" w:eastAsia="微软雅黑" w:hAnsi="Cambria Math"/>
                      <w:i/>
                      <w:szCs w:val="20"/>
                    </w:rPr>
                  </m:ctrlPr>
                </m:mP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1,M</m:t>
                        </m:r>
                      </m:sub>
                    </m:sSub>
                  </m:e>
                </m:mr>
                <m:mr>
                  <m:e>
                    <m:r>
                      <w:rPr>
                        <w:rFonts w:ascii="Cambria Math" w:eastAsia="微软雅黑" w:hAnsi="Cambria Math"/>
                        <w:szCs w:val="20"/>
                      </w:rPr>
                      <m:t>⋮</m:t>
                    </m:r>
                  </m:e>
                  <m:e>
                    <m:r>
                      <w:rPr>
                        <w:rFonts w:ascii="Cambria Math" w:eastAsia="微软雅黑" w:hAnsi="Cambria Math"/>
                        <w:szCs w:val="20"/>
                      </w:rPr>
                      <m:t xml:space="preserve">⋱ </m:t>
                    </m:r>
                  </m:e>
                  <m:e>
                    <m:r>
                      <w:rPr>
                        <w:rFonts w:ascii="Cambria Math" w:eastAsia="微软雅黑" w:hAnsi="Cambria Math"/>
                        <w:szCs w:val="20"/>
                      </w:rPr>
                      <m:t>⋮</m:t>
                    </m:r>
                  </m:e>
                </m:mr>
                <m:mr>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2L,1</m:t>
                        </m:r>
                      </m:sub>
                    </m:sSub>
                  </m:e>
                  <m:e>
                    <m:r>
                      <w:rPr>
                        <w:rFonts w:ascii="Cambria Math" w:eastAsia="微软雅黑" w:hAnsi="Cambria Math"/>
                        <w:szCs w:val="20"/>
                      </w:rPr>
                      <m:t>⋯</m:t>
                    </m:r>
                  </m:e>
                  <m:e>
                    <m:sSub>
                      <m:sSubPr>
                        <m:ctrlPr>
                          <w:rPr>
                            <w:rFonts w:ascii="Cambria Math" w:eastAsia="微软雅黑" w:hAnsi="Cambria Math"/>
                            <w:i/>
                            <w:szCs w:val="20"/>
                          </w:rPr>
                        </m:ctrlPr>
                      </m:sSubPr>
                      <m:e>
                        <m:r>
                          <w:rPr>
                            <w:rFonts w:ascii="Cambria Math" w:eastAsia="微软雅黑" w:hAnsi="Cambria Math"/>
                            <w:szCs w:val="20"/>
                          </w:rPr>
                          <m:t>c</m:t>
                        </m:r>
                      </m:e>
                      <m:sub>
                        <m:r>
                          <w:rPr>
                            <w:rFonts w:ascii="Cambria Math" w:eastAsia="微软雅黑" w:hAnsi="Cambria Math"/>
                            <w:szCs w:val="20"/>
                          </w:rPr>
                          <m:t>2L,M</m:t>
                        </m:r>
                      </m:sub>
                    </m:sSub>
                  </m:e>
                </m:mr>
              </m:m>
            </m:e>
          </m:d>
        </m:oMath>
      </m:oMathPara>
    </w:p>
    <w:p w:rsidR="003407F8" w:rsidRPr="007B1EC7" w:rsidRDefault="00D73829">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 xml:space="preserve">The report overhead of Alt B can be further reduced. </w:t>
      </w:r>
      <w:r w:rsidR="002F04D4" w:rsidRPr="007B1EC7">
        <w:rPr>
          <w:rFonts w:ascii="Times New Roman" w:eastAsia="微软雅黑" w:hAnsi="Times New Roman" w:cs="Times New Roman"/>
          <w:szCs w:val="20"/>
          <w:lang w:val="en-US"/>
        </w:rPr>
        <w:t xml:space="preserve">In fact, the first L rows in </w:t>
      </w:r>
      <w:r w:rsidR="002F04D4" w:rsidRPr="007B1EC7">
        <w:rPr>
          <w:rFonts w:ascii="Times New Roman" w:eastAsia="微软雅黑" w:hAnsi="Times New Roman" w:cs="Times New Roman"/>
          <w:b/>
          <w:szCs w:val="20"/>
          <w:lang w:val="en-US"/>
        </w:rPr>
        <w:t>C</w:t>
      </w:r>
      <w:r w:rsidR="002F04D4" w:rsidRPr="007B1EC7">
        <w:rPr>
          <w:rFonts w:ascii="Times New Roman" w:eastAsia="微软雅黑" w:hAnsi="Times New Roman" w:cs="Times New Roman"/>
          <w:szCs w:val="20"/>
          <w:lang w:val="en-US"/>
        </w:rPr>
        <w:t xml:space="preserve"> corresponds to the first polarization, and the last L rows correspond to the second polarization. As the channel in the two polarizations </w:t>
      </w:r>
      <w:r w:rsidR="008A3B92" w:rsidRPr="007B1EC7">
        <w:rPr>
          <w:rFonts w:ascii="Times New Roman" w:eastAsia="微软雅黑" w:hAnsi="Times New Roman" w:cs="Times New Roman"/>
          <w:szCs w:val="20"/>
          <w:lang w:val="en-US"/>
        </w:rPr>
        <w:t>has</w:t>
      </w:r>
      <w:r w:rsidR="002F04D4" w:rsidRPr="007B1EC7">
        <w:rPr>
          <w:rFonts w:ascii="Times New Roman" w:eastAsia="微软雅黑" w:hAnsi="Times New Roman" w:cs="Times New Roman"/>
          <w:szCs w:val="20"/>
          <w:lang w:val="en-US"/>
        </w:rPr>
        <w:t xml:space="preserve"> symmetry</w:t>
      </w:r>
      <w:r w:rsidR="008A3B92" w:rsidRPr="007B1EC7">
        <w:rPr>
          <w:rFonts w:ascii="Times New Roman" w:eastAsia="微软雅黑" w:hAnsi="Times New Roman" w:cs="Times New Roman"/>
          <w:szCs w:val="20"/>
          <w:lang w:val="en-US"/>
        </w:rPr>
        <w:t xml:space="preserve"> property</w:t>
      </w:r>
      <w:r w:rsidR="002F04D4" w:rsidRPr="007B1EC7">
        <w:rPr>
          <w:rFonts w:ascii="Times New Roman" w:eastAsia="微软雅黑" w:hAnsi="Times New Roman" w:cs="Times New Roman"/>
          <w:szCs w:val="20"/>
          <w:lang w:val="en-US"/>
        </w:rPr>
        <w:t xml:space="preserve">, the best spatial beams or FD </w:t>
      </w:r>
      <w:r w:rsidR="008A3B92" w:rsidRPr="007B1EC7">
        <w:rPr>
          <w:rFonts w:ascii="Times New Roman" w:eastAsia="微软雅黑" w:hAnsi="Times New Roman" w:cs="Times New Roman"/>
          <w:szCs w:val="20"/>
          <w:lang w:val="en-US"/>
        </w:rPr>
        <w:t xml:space="preserve">basis vectors are quite similar for the two polarizations. </w:t>
      </w:r>
    </w:p>
    <w:p w:rsidR="004729A3" w:rsidRPr="007B1EC7" w:rsidRDefault="008A3B92">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Hence one approach to further reduce report overhead in Alt B is to report the coefficient subset for just one polarization</w:t>
      </w:r>
      <w:r w:rsidR="004729A3" w:rsidRPr="007B1EC7">
        <w:rPr>
          <w:rFonts w:ascii="Times New Roman" w:eastAsia="微软雅黑" w:hAnsi="Times New Roman" w:cs="Times New Roman"/>
          <w:szCs w:val="20"/>
          <w:lang w:val="en-US"/>
        </w:rPr>
        <w:t xml:space="preserve"> (e.g., the first L rows in the </w:t>
      </w:r>
      <w:r w:rsidR="004729A3" w:rsidRPr="007B1EC7">
        <w:rPr>
          <w:rFonts w:ascii="Times New Roman" w:eastAsia="微软雅黑" w:hAnsi="Times New Roman" w:cs="Times New Roman"/>
          <w:b/>
          <w:szCs w:val="20"/>
          <w:lang w:val="en-US"/>
        </w:rPr>
        <w:t>C</w:t>
      </w:r>
      <w:r w:rsidR="004729A3" w:rsidRPr="007B1EC7">
        <w:rPr>
          <w:rFonts w:ascii="Times New Roman" w:eastAsia="微软雅黑" w:hAnsi="Times New Roman" w:cs="Times New Roman"/>
          <w:szCs w:val="20"/>
          <w:lang w:val="en-US"/>
        </w:rPr>
        <w:t xml:space="preserve"> matrix)</w:t>
      </w:r>
      <w:r w:rsidRPr="007B1EC7">
        <w:rPr>
          <w:rFonts w:ascii="Times New Roman" w:eastAsia="微软雅黑" w:hAnsi="Times New Roman" w:cs="Times New Roman"/>
          <w:szCs w:val="20"/>
          <w:lang w:val="en-US"/>
        </w:rPr>
        <w:t>. For coefficients correspond to the other polarization</w:t>
      </w:r>
      <w:r w:rsidR="004729A3" w:rsidRPr="007B1EC7">
        <w:rPr>
          <w:rFonts w:ascii="Times New Roman" w:eastAsia="微软雅黑" w:hAnsi="Times New Roman" w:cs="Times New Roman"/>
          <w:szCs w:val="20"/>
          <w:lang w:val="en-US"/>
        </w:rPr>
        <w:t xml:space="preserve"> (the last L rows)</w:t>
      </w:r>
      <w:r w:rsidRPr="007B1EC7">
        <w:rPr>
          <w:rFonts w:ascii="Times New Roman" w:eastAsia="微软雅黑" w:hAnsi="Times New Roman" w:cs="Times New Roman"/>
          <w:szCs w:val="20"/>
          <w:lang w:val="en-US"/>
        </w:rPr>
        <w:t>, the same subset is used.</w:t>
      </w:r>
      <w:r w:rsidR="0023067E" w:rsidRPr="007B1EC7">
        <w:rPr>
          <w:rFonts w:ascii="Times New Roman" w:eastAsia="微软雅黑" w:hAnsi="Times New Roman" w:cs="Times New Roman"/>
          <w:szCs w:val="20"/>
          <w:lang w:val="en-US"/>
        </w:rPr>
        <w:t xml:space="preserve"> </w:t>
      </w:r>
      <w:r w:rsidR="00944FA6" w:rsidRPr="007B1EC7">
        <w:rPr>
          <w:rFonts w:ascii="Times New Roman" w:eastAsia="微软雅黑" w:hAnsi="Times New Roman" w:cs="Times New Roman"/>
          <w:szCs w:val="20"/>
          <w:lang w:val="en-US"/>
        </w:rPr>
        <w:t>An example is shown in Fig. 7 for L=4 and M=4.</w:t>
      </w:r>
    </w:p>
    <w:p w:rsidR="00944FA6" w:rsidRPr="007B1EC7" w:rsidRDefault="00675C1F" w:rsidP="00944FA6">
      <w:pPr>
        <w:pStyle w:val="13"/>
        <w:snapToGrid w:val="0"/>
        <w:spacing w:before="120" w:afterLines="50" w:after="120"/>
        <w:ind w:leftChars="0" w:left="0" w:firstLine="0"/>
        <w:jc w:val="center"/>
        <w:rPr>
          <w:rFonts w:ascii="Times New Roman" w:eastAsia="微软雅黑" w:hAnsi="Times New Roman" w:cs="Times New Roman"/>
          <w:szCs w:val="20"/>
          <w:lang w:val="en-US"/>
        </w:rPr>
      </w:pPr>
      <w:r w:rsidRPr="007B1EC7">
        <w:rPr>
          <w:noProof/>
          <w:lang w:val="en-US"/>
        </w:rPr>
        <w:lastRenderedPageBreak/>
        <w:drawing>
          <wp:inline distT="0" distB="0" distL="0" distR="0" wp14:anchorId="034C4E8B" wp14:editId="216DD8CE">
            <wp:extent cx="3322621" cy="210929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342300" cy="2121789"/>
                    </a:xfrm>
                    <a:prstGeom prst="rect">
                      <a:avLst/>
                    </a:prstGeom>
                  </pic:spPr>
                </pic:pic>
              </a:graphicData>
            </a:graphic>
          </wp:inline>
        </w:drawing>
      </w:r>
    </w:p>
    <w:p w:rsidR="00944FA6" w:rsidRPr="007B1EC7" w:rsidRDefault="00944FA6" w:rsidP="00944FA6">
      <w:pPr>
        <w:pStyle w:val="13"/>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Fig.7 An example of the proposed subset selection pattern</w:t>
      </w:r>
      <w:r w:rsidR="001A51C4" w:rsidRPr="007B1EC7">
        <w:rPr>
          <w:rFonts w:ascii="Times New Roman" w:eastAsia="微软雅黑" w:hAnsi="Times New Roman" w:cs="Times New Roman"/>
          <w:szCs w:val="20"/>
          <w:lang w:val="en-US"/>
        </w:rPr>
        <w:t xml:space="preserve">: Same </w:t>
      </w:r>
      <w:r w:rsidR="00C20D34" w:rsidRPr="007B1EC7">
        <w:rPr>
          <w:rFonts w:ascii="Times New Roman" w:eastAsia="微软雅黑" w:hAnsi="Times New Roman" w:cs="Times New Roman"/>
          <w:szCs w:val="20"/>
          <w:lang w:val="en-US"/>
        </w:rPr>
        <w:t>subset</w:t>
      </w:r>
      <w:r w:rsidR="001A51C4" w:rsidRPr="007B1EC7">
        <w:rPr>
          <w:rFonts w:ascii="Times New Roman" w:eastAsia="微软雅黑" w:hAnsi="Times New Roman" w:cs="Times New Roman"/>
          <w:szCs w:val="20"/>
          <w:lang w:val="en-US"/>
        </w:rPr>
        <w:t xml:space="preserve"> for two pols</w:t>
      </w:r>
    </w:p>
    <w:p w:rsidR="008A3B92" w:rsidRPr="007B1EC7" w:rsidRDefault="0023067E">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 xml:space="preserve">Based on the analysis above, this approach has the potential to reduce overhead without harming the performance significantly. </w:t>
      </w:r>
    </w:p>
    <w:p w:rsidR="00EA1DE1" w:rsidRPr="007B1EC7"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We simulate the above </w:t>
      </w:r>
      <w:r w:rsidR="0023067E" w:rsidRPr="007B1EC7">
        <w:rPr>
          <w:rFonts w:ascii="Times New Roman" w:eastAsia="微软雅黑" w:hAnsi="Times New Roman" w:cs="Times New Roman"/>
          <w:szCs w:val="20"/>
          <w:lang w:val="en-US"/>
        </w:rPr>
        <w:t>following three approaches</w:t>
      </w:r>
      <w:r w:rsidRPr="007B1EC7">
        <w:rPr>
          <w:rFonts w:ascii="Times New Roman" w:eastAsia="微软雅黑" w:hAnsi="Times New Roman" w:cs="Times New Roman" w:hint="eastAsia"/>
          <w:szCs w:val="20"/>
          <w:lang w:val="en-US"/>
        </w:rPr>
        <w:t xml:space="preserve"> in the </w:t>
      </w:r>
      <w:r w:rsidRPr="007B1EC7">
        <w:rPr>
          <w:rFonts w:ascii="Times New Roman" w:eastAsia="微软雅黑" w:hAnsi="Times New Roman" w:cs="Times New Roman"/>
          <w:szCs w:val="20"/>
          <w:lang w:val="en-US"/>
        </w:rPr>
        <w:t xml:space="preserve">following Fig. </w:t>
      </w:r>
      <w:r w:rsidR="003E62FB" w:rsidRPr="007B1EC7">
        <w:rPr>
          <w:rFonts w:ascii="Times New Roman" w:eastAsia="微软雅黑" w:hAnsi="Times New Roman" w:cs="Times New Roman"/>
          <w:szCs w:val="20"/>
          <w:lang w:val="en-US"/>
        </w:rPr>
        <w:t>8</w:t>
      </w:r>
      <w:r w:rsidRPr="007B1EC7">
        <w:rPr>
          <w:rFonts w:ascii="Times New Roman" w:eastAsia="微软雅黑" w:hAnsi="Times New Roman" w:cs="Times New Roman"/>
          <w:szCs w:val="20"/>
          <w:lang w:val="en-US"/>
        </w:rPr>
        <w:t xml:space="preserve"> for the case of M=4. </w:t>
      </w:r>
    </w:p>
    <w:p w:rsidR="00EA1DE1" w:rsidRPr="007B1EC7" w:rsidRDefault="00EA1DE1" w:rsidP="00EA1DE1">
      <w:pPr>
        <w:pStyle w:val="13"/>
        <w:numPr>
          <w:ilvl w:val="0"/>
          <w:numId w:val="8"/>
        </w:numPr>
        <w:snapToGrid w:val="0"/>
        <w:spacing w:before="120" w:afterLines="50" w:after="120"/>
        <w:ind w:leftChars="0"/>
        <w:jc w:val="both"/>
        <w:rPr>
          <w:rFonts w:ascii="Times New Roman" w:eastAsia="微软雅黑" w:hAnsi="Times New Roman" w:cs="Times New Roman"/>
          <w:szCs w:val="20"/>
          <w:lang w:val="en-US"/>
        </w:rPr>
      </w:pPr>
      <w:r w:rsidRPr="007B1EC7">
        <w:rPr>
          <w:rFonts w:ascii="Times New Roman" w:eastAsia="微软雅黑" w:hAnsi="Times New Roman" w:cs="Times New Roman"/>
          <w:b/>
          <w:szCs w:val="20"/>
          <w:u w:val="single"/>
          <w:lang w:val="en-US"/>
        </w:rPr>
        <w:t>Without Subset Selection</w:t>
      </w:r>
      <w:r w:rsidRPr="007B1EC7">
        <w:rPr>
          <w:rFonts w:ascii="Times New Roman" w:eastAsia="微软雅黑" w:hAnsi="Times New Roman" w:cs="Times New Roman"/>
          <w:b/>
          <w:szCs w:val="20"/>
          <w:lang w:val="en-US"/>
        </w:rPr>
        <w:t>:</w:t>
      </w:r>
      <w:r w:rsidRPr="007B1EC7">
        <w:rPr>
          <w:rFonts w:ascii="Times New Roman" w:eastAsia="微软雅黑" w:hAnsi="Times New Roman" w:cs="Times New Roman"/>
          <w:szCs w:val="20"/>
          <w:lang w:val="en-US"/>
        </w:rPr>
        <w:t xml:space="preserve"> </w:t>
      </w:r>
      <w:r w:rsidR="00F31018">
        <w:rPr>
          <w:rFonts w:ascii="Times New Roman" w:eastAsia="微软雅黑" w:hAnsi="Times New Roman" w:cs="Times New Roman"/>
          <w:szCs w:val="20"/>
          <w:lang w:val="en-US"/>
        </w:rPr>
        <w:t>A</w:t>
      </w:r>
      <w:r w:rsidRPr="007B1EC7">
        <w:rPr>
          <w:rFonts w:ascii="Times New Roman" w:eastAsia="微软雅黑" w:hAnsi="Times New Roman" w:cs="Times New Roman"/>
          <w:szCs w:val="20"/>
          <w:lang w:val="en-US"/>
        </w:rPr>
        <w:t>ll the 2L*M coefficients are reported, i.e., Alt A</w:t>
      </w:r>
      <w:r w:rsidR="00797BDE" w:rsidRPr="007B1EC7">
        <w:rPr>
          <w:rFonts w:ascii="Times New Roman" w:eastAsia="微软雅黑" w:hAnsi="Times New Roman" w:cs="Times New Roman" w:hint="eastAsia"/>
          <w:szCs w:val="20"/>
          <w:lang w:val="en-US"/>
        </w:rPr>
        <w:t>.</w:t>
      </w:r>
    </w:p>
    <w:p w:rsidR="00EA1DE1" w:rsidRPr="007B1EC7" w:rsidRDefault="00EA1DE1" w:rsidP="00EA1DE1">
      <w:pPr>
        <w:pStyle w:val="13"/>
        <w:numPr>
          <w:ilvl w:val="0"/>
          <w:numId w:val="8"/>
        </w:numPr>
        <w:snapToGrid w:val="0"/>
        <w:spacing w:before="120" w:afterLines="50" w:after="120"/>
        <w:ind w:leftChars="0"/>
        <w:jc w:val="both"/>
        <w:rPr>
          <w:rFonts w:ascii="Times New Roman" w:eastAsia="微软雅黑" w:hAnsi="Times New Roman" w:cs="Times New Roman"/>
          <w:szCs w:val="20"/>
          <w:lang w:val="en-US"/>
        </w:rPr>
      </w:pPr>
      <w:r w:rsidRPr="007B1EC7">
        <w:rPr>
          <w:rFonts w:ascii="Times New Roman" w:eastAsia="微软雅黑" w:hAnsi="Times New Roman" w:cs="Times New Roman"/>
          <w:b/>
          <w:szCs w:val="20"/>
          <w:u w:val="single"/>
          <w:lang w:val="en-US"/>
        </w:rPr>
        <w:t>With Subset Selection</w:t>
      </w:r>
      <w:r w:rsidRPr="007B1EC7">
        <w:rPr>
          <w:rFonts w:ascii="Times New Roman" w:eastAsia="微软雅黑" w:hAnsi="Times New Roman" w:cs="Times New Roman"/>
          <w:b/>
          <w:szCs w:val="20"/>
          <w:lang w:val="en-US"/>
        </w:rPr>
        <w:t>:</w:t>
      </w:r>
      <w:r w:rsidRPr="007B1EC7">
        <w:rPr>
          <w:rFonts w:ascii="Times New Roman" w:eastAsia="微软雅黑" w:hAnsi="Times New Roman" w:cs="Times New Roman"/>
          <w:szCs w:val="20"/>
          <w:lang w:val="en-US"/>
        </w:rPr>
        <w:t xml:space="preserve"> 75% of the entries in the entire 2L*M matrix are reported. The location</w:t>
      </w:r>
      <w:r w:rsidR="00210D81" w:rsidRPr="007B1EC7">
        <w:rPr>
          <w:rFonts w:ascii="Times New Roman" w:eastAsia="微软雅黑" w:hAnsi="Times New Roman" w:cs="Times New Roman"/>
          <w:szCs w:val="20"/>
          <w:lang w:val="en-US"/>
        </w:rPr>
        <w:t>s</w:t>
      </w:r>
      <w:r w:rsidRPr="007B1EC7">
        <w:rPr>
          <w:rFonts w:ascii="Times New Roman" w:eastAsia="微软雅黑" w:hAnsi="Times New Roman" w:cs="Times New Roman"/>
          <w:szCs w:val="20"/>
          <w:lang w:val="en-US"/>
        </w:rPr>
        <w:t xml:space="preserve"> of the entries are reported based on a joint coding of the entry locations.</w:t>
      </w:r>
    </w:p>
    <w:p w:rsidR="00EA1DE1" w:rsidRPr="007B1EC7" w:rsidRDefault="00EA1DE1" w:rsidP="00EA1DE1">
      <w:pPr>
        <w:pStyle w:val="13"/>
        <w:numPr>
          <w:ilvl w:val="0"/>
          <w:numId w:val="8"/>
        </w:numPr>
        <w:snapToGrid w:val="0"/>
        <w:spacing w:before="120" w:afterLines="50" w:after="120"/>
        <w:ind w:leftChars="0"/>
        <w:jc w:val="both"/>
        <w:rPr>
          <w:rFonts w:ascii="Times New Roman" w:eastAsia="微软雅黑" w:hAnsi="Times New Roman" w:cs="Times New Roman"/>
          <w:szCs w:val="20"/>
          <w:lang w:val="en-US"/>
        </w:rPr>
      </w:pPr>
      <w:r w:rsidRPr="007B1EC7">
        <w:rPr>
          <w:rFonts w:ascii="Times New Roman" w:eastAsia="微软雅黑" w:hAnsi="Times New Roman" w:cs="Times New Roman"/>
          <w:b/>
          <w:szCs w:val="20"/>
          <w:u w:val="single"/>
          <w:lang w:val="en-US"/>
        </w:rPr>
        <w:t>With Subset Selection</w:t>
      </w:r>
      <w:r w:rsidR="007B1EC7">
        <w:rPr>
          <w:rFonts w:ascii="Times New Roman" w:eastAsia="微软雅黑" w:hAnsi="Times New Roman" w:cs="Times New Roman"/>
          <w:b/>
          <w:szCs w:val="20"/>
          <w:u w:val="single"/>
          <w:lang w:val="en-US"/>
        </w:rPr>
        <w:t xml:space="preserve"> </w:t>
      </w:r>
      <w:r w:rsidRPr="007B1EC7">
        <w:rPr>
          <w:rFonts w:ascii="Times New Roman" w:eastAsia="微软雅黑" w:hAnsi="Times New Roman" w:cs="Times New Roman"/>
          <w:b/>
          <w:szCs w:val="20"/>
          <w:u w:val="single"/>
          <w:lang w:val="en-US"/>
        </w:rPr>
        <w:t>(pol.)</w:t>
      </w:r>
      <w:r w:rsidRPr="007B1EC7">
        <w:rPr>
          <w:rFonts w:ascii="Times New Roman" w:eastAsia="微软雅黑" w:hAnsi="Times New Roman" w:cs="Times New Roman"/>
          <w:b/>
          <w:szCs w:val="20"/>
          <w:lang w:val="en-US"/>
        </w:rPr>
        <w:t xml:space="preserve">: </w:t>
      </w:r>
      <w:r w:rsidR="00EC5191" w:rsidRPr="007B1EC7">
        <w:rPr>
          <w:rFonts w:ascii="Times New Roman" w:eastAsia="微软雅黑" w:hAnsi="Times New Roman" w:cs="Times New Roman"/>
          <w:szCs w:val="20"/>
          <w:lang w:val="en-US"/>
        </w:rPr>
        <w:t xml:space="preserve">The locations </w:t>
      </w:r>
      <w:r w:rsidR="00AA2A0A" w:rsidRPr="007B1EC7">
        <w:rPr>
          <w:rFonts w:ascii="Times New Roman" w:eastAsia="微软雅黑" w:hAnsi="Times New Roman" w:cs="Times New Roman"/>
          <w:szCs w:val="20"/>
          <w:lang w:val="en-US"/>
        </w:rPr>
        <w:t>for</w:t>
      </w:r>
      <w:r w:rsidR="00EC5191" w:rsidRPr="007B1EC7">
        <w:rPr>
          <w:rFonts w:ascii="Times New Roman" w:eastAsia="微软雅黑" w:hAnsi="Times New Roman" w:cs="Times New Roman"/>
          <w:szCs w:val="20"/>
          <w:lang w:val="en-US"/>
        </w:rPr>
        <w:t xml:space="preserve"> </w:t>
      </w:r>
      <w:r w:rsidRPr="007B1EC7">
        <w:rPr>
          <w:rFonts w:ascii="Times New Roman" w:eastAsia="微软雅黑" w:hAnsi="Times New Roman" w:cs="Times New Roman"/>
          <w:szCs w:val="20"/>
          <w:lang w:val="en-US"/>
        </w:rPr>
        <w:t xml:space="preserve">37.5% of the entries in the first L rows </w:t>
      </w:r>
      <w:r w:rsidR="00EC5191" w:rsidRPr="007B1EC7">
        <w:rPr>
          <w:rFonts w:ascii="Times New Roman" w:eastAsia="微软雅黑" w:hAnsi="Times New Roman" w:cs="Times New Roman"/>
          <w:szCs w:val="20"/>
          <w:lang w:val="en-US"/>
        </w:rPr>
        <w:t>of</w:t>
      </w:r>
      <w:r w:rsidRPr="007B1EC7">
        <w:rPr>
          <w:rFonts w:ascii="Times New Roman" w:eastAsia="微软雅黑" w:hAnsi="Times New Roman" w:cs="Times New Roman"/>
          <w:szCs w:val="20"/>
          <w:lang w:val="en-US"/>
        </w:rPr>
        <w:t xml:space="preserve"> the 2</w:t>
      </w:r>
      <w:r w:rsidRPr="007B1EC7">
        <w:rPr>
          <w:rFonts w:ascii="Times New Roman" w:eastAsia="微软雅黑" w:hAnsi="Times New Roman" w:cs="Times New Roman" w:hint="eastAsia"/>
          <w:szCs w:val="20"/>
          <w:lang w:val="en-US"/>
        </w:rPr>
        <w:t>L</w:t>
      </w:r>
      <w:r w:rsidRPr="007B1EC7">
        <w:rPr>
          <w:rFonts w:ascii="Times New Roman" w:eastAsia="微软雅黑" w:hAnsi="Times New Roman" w:cs="Times New Roman"/>
          <w:szCs w:val="20"/>
          <w:lang w:val="en-US"/>
        </w:rPr>
        <w:t xml:space="preserve">*M </w:t>
      </w:r>
      <w:r w:rsidR="00EC5191" w:rsidRPr="007B1EC7">
        <w:rPr>
          <w:rFonts w:ascii="Times New Roman" w:eastAsia="微软雅黑" w:hAnsi="Times New Roman" w:cs="Times New Roman"/>
          <w:szCs w:val="20"/>
          <w:lang w:val="en-US"/>
        </w:rPr>
        <w:t>are reported</w:t>
      </w:r>
      <w:r w:rsidR="00AA2A0A" w:rsidRPr="007B1EC7">
        <w:rPr>
          <w:rFonts w:ascii="Times New Roman" w:eastAsia="微软雅黑" w:hAnsi="Times New Roman" w:cs="Times New Roman"/>
          <w:szCs w:val="20"/>
          <w:lang w:val="en-US"/>
        </w:rPr>
        <w:t xml:space="preserve"> with a joint coding. The locations for the selected entries in the last L rows are same </w:t>
      </w:r>
      <w:r w:rsidR="00C17D87" w:rsidRPr="007B1EC7">
        <w:rPr>
          <w:rFonts w:ascii="Times New Roman" w:eastAsia="微软雅黑" w:hAnsi="Times New Roman" w:cs="Times New Roman"/>
          <w:szCs w:val="20"/>
          <w:lang w:val="en-US"/>
        </w:rPr>
        <w:t>as the first row. The total number of reported coefficients is still 75% of the whole 2L*M matrix.</w:t>
      </w:r>
    </w:p>
    <w:p w:rsidR="00645458" w:rsidRPr="007B1EC7"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szCs w:val="20"/>
          <w:lang w:val="en-US"/>
        </w:rPr>
        <w:t>The plots in the figure correspond to L={2,3,4}.</w:t>
      </w:r>
    </w:p>
    <w:p w:rsidR="00645458" w:rsidRPr="007B1EC7" w:rsidRDefault="003B1DF4">
      <w:pPr>
        <w:pStyle w:val="13"/>
        <w:snapToGrid w:val="0"/>
        <w:spacing w:before="120" w:afterLines="50" w:after="120"/>
        <w:ind w:leftChars="0" w:left="0" w:firstLine="0"/>
        <w:jc w:val="center"/>
        <w:rPr>
          <w:rFonts w:ascii="Times New Roman" w:eastAsia="微软雅黑" w:hAnsi="Times New Roman" w:cs="Times New Roman"/>
          <w:szCs w:val="20"/>
          <w:lang w:val="en-US"/>
        </w:rPr>
      </w:pPr>
      <w:r w:rsidRPr="007B1EC7">
        <w:rPr>
          <w:noProof/>
          <w:lang w:val="en-US"/>
        </w:rPr>
        <w:drawing>
          <wp:inline distT="0" distB="0" distL="0" distR="0" wp14:anchorId="0E23140F" wp14:editId="72C536EC">
            <wp:extent cx="4753069" cy="2783941"/>
            <wp:effectExtent l="0" t="0" r="0" b="0"/>
            <wp:docPr id="7" name="图片 5"/>
            <wp:cNvGraphicFramePr/>
            <a:graphic xmlns:a="http://schemas.openxmlformats.org/drawingml/2006/main">
              <a:graphicData uri="http://schemas.openxmlformats.org/drawingml/2006/picture">
                <pic:pic xmlns:pic="http://schemas.openxmlformats.org/drawingml/2006/picture">
                  <pic:nvPicPr>
                    <pic:cNvPr id="7" name="图片 5"/>
                    <pic:cNvPicPr/>
                  </pic:nvPicPr>
                  <pic:blipFill>
                    <a:blip r:embed="rId23"/>
                    <a:stretch>
                      <a:fillRect/>
                    </a:stretch>
                  </pic:blipFill>
                  <pic:spPr>
                    <a:xfrm>
                      <a:off x="0" y="0"/>
                      <a:ext cx="4787099" cy="2803873"/>
                    </a:xfrm>
                    <a:prstGeom prst="rect">
                      <a:avLst/>
                    </a:prstGeom>
                    <a:noFill/>
                    <a:ln w="9525">
                      <a:noFill/>
                    </a:ln>
                  </pic:spPr>
                </pic:pic>
              </a:graphicData>
            </a:graphic>
          </wp:inline>
        </w:drawing>
      </w:r>
    </w:p>
    <w:p w:rsidR="00645458" w:rsidRPr="007B1EC7"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Fig. </w:t>
      </w:r>
      <w:r w:rsidR="00B61027" w:rsidRPr="007B1EC7">
        <w:rPr>
          <w:rFonts w:ascii="Times New Roman" w:eastAsia="微软雅黑" w:hAnsi="Times New Roman" w:cs="Times New Roman"/>
          <w:szCs w:val="20"/>
          <w:lang w:val="en-US"/>
        </w:rPr>
        <w:t>8</w:t>
      </w:r>
      <w:r w:rsidRPr="007B1EC7">
        <w:rPr>
          <w:rFonts w:ascii="Times New Roman" w:eastAsia="微软雅黑" w:hAnsi="Times New Roman" w:cs="Times New Roman"/>
          <w:szCs w:val="20"/>
          <w:lang w:val="en-US"/>
        </w:rPr>
        <w:t xml:space="preserve"> Subset selection of the coefficient matrix after compression</w:t>
      </w:r>
    </w:p>
    <w:p w:rsidR="00415701" w:rsidRPr="007B1EC7" w:rsidRDefault="00415701" w:rsidP="00415701">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7B1EC7">
        <w:rPr>
          <w:rFonts w:ascii="Times New Roman" w:eastAsia="微软雅黑" w:hAnsi="Times New Roman" w:cs="Times New Roman" w:hint="eastAsia"/>
          <w:szCs w:val="20"/>
          <w:lang w:val="en-US"/>
        </w:rPr>
        <w:t xml:space="preserve">It can be </w:t>
      </w:r>
      <w:r w:rsidRPr="007B1EC7">
        <w:rPr>
          <w:rFonts w:ascii="Times New Roman" w:eastAsia="微软雅黑" w:hAnsi="Times New Roman" w:cs="Times New Roman"/>
          <w:szCs w:val="20"/>
          <w:lang w:val="en-US"/>
        </w:rPr>
        <w:t>observed in Fig.</w:t>
      </w:r>
      <w:r w:rsidR="003E62FB" w:rsidRPr="007B1EC7">
        <w:rPr>
          <w:rFonts w:ascii="Times New Roman" w:eastAsia="微软雅黑" w:hAnsi="Times New Roman" w:cs="Times New Roman"/>
          <w:szCs w:val="20"/>
          <w:lang w:val="en-US"/>
        </w:rPr>
        <w:t>8</w:t>
      </w:r>
      <w:r w:rsidRPr="007B1EC7">
        <w:rPr>
          <w:rFonts w:ascii="Times New Roman" w:eastAsia="微软雅黑" w:hAnsi="Times New Roman" w:cs="Times New Roman"/>
          <w:szCs w:val="20"/>
          <w:lang w:val="en-US"/>
        </w:rPr>
        <w:t xml:space="preserve"> that with sub-set selection, almost 20-50 bits can be saved without reducing the performance.</w:t>
      </w:r>
      <w:r w:rsidR="00E248DA" w:rsidRPr="007B1EC7">
        <w:rPr>
          <w:rFonts w:ascii="Times New Roman" w:eastAsia="微软雅黑" w:hAnsi="Times New Roman" w:cs="Times New Roman"/>
          <w:szCs w:val="20"/>
          <w:lang w:val="en-US"/>
        </w:rPr>
        <w:t xml:space="preserve"> If the only one </w:t>
      </w:r>
      <w:r w:rsidR="009F796E" w:rsidRPr="007B1EC7">
        <w:rPr>
          <w:rFonts w:ascii="Times New Roman" w:eastAsia="微软雅黑" w:hAnsi="Times New Roman" w:cs="Times New Roman"/>
          <w:szCs w:val="20"/>
          <w:lang w:val="en-US"/>
        </w:rPr>
        <w:t>polarization reports the locations of the selected subset, extra 20-30 bits can be reduce</w:t>
      </w:r>
      <w:r w:rsidR="00D8280C">
        <w:rPr>
          <w:rFonts w:ascii="Times New Roman" w:eastAsia="微软雅黑" w:hAnsi="Times New Roman" w:cs="Times New Roman" w:hint="eastAsia"/>
          <w:szCs w:val="20"/>
          <w:lang w:val="en-US"/>
        </w:rPr>
        <w:t>d</w:t>
      </w:r>
      <w:r w:rsidR="009F796E" w:rsidRPr="007B1EC7">
        <w:rPr>
          <w:rFonts w:ascii="Times New Roman" w:eastAsia="微软雅黑" w:hAnsi="Times New Roman" w:cs="Times New Roman"/>
          <w:szCs w:val="20"/>
          <w:lang w:val="en-US"/>
        </w:rPr>
        <w:t xml:space="preserve">, where the performance is almost the same. </w:t>
      </w:r>
      <w:r w:rsidR="007C39AC" w:rsidRPr="007B1EC7">
        <w:rPr>
          <w:rFonts w:ascii="Times New Roman" w:eastAsia="微软雅黑" w:hAnsi="Times New Roman" w:cs="Times New Roman"/>
          <w:szCs w:val="20"/>
          <w:lang w:val="en-US"/>
        </w:rPr>
        <w:t>Hence in the above three approaches, using the same selected subset for the two polarizations</w:t>
      </w:r>
      <w:r w:rsidR="0000107A" w:rsidRPr="007B1EC7">
        <w:rPr>
          <w:rFonts w:ascii="Times New Roman" w:eastAsia="微软雅黑" w:hAnsi="Times New Roman" w:cs="Times New Roman"/>
          <w:szCs w:val="20"/>
          <w:lang w:val="en-US"/>
        </w:rPr>
        <w:t xml:space="preserve"> achieves the best Performance-Overhead trade-off.</w:t>
      </w:r>
    </w:p>
    <w:p w:rsidR="00D8432C" w:rsidRPr="007B1EC7" w:rsidRDefault="00415701" w:rsidP="00415701">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hint="eastAsia"/>
          <w:b/>
          <w:i/>
          <w:szCs w:val="20"/>
          <w:lang w:val="en-US"/>
        </w:rPr>
        <w:t>O</w:t>
      </w:r>
      <w:r w:rsidRPr="007B1EC7">
        <w:rPr>
          <w:rFonts w:ascii="Times New Roman" w:eastAsia="微软雅黑" w:hAnsi="Times New Roman" w:cs="Times New Roman"/>
          <w:b/>
          <w:i/>
          <w:szCs w:val="20"/>
          <w:lang w:val="en-US"/>
        </w:rPr>
        <w:t>b</w:t>
      </w:r>
      <w:r w:rsidRPr="007B1EC7">
        <w:rPr>
          <w:rFonts w:ascii="Times New Roman" w:eastAsia="微软雅黑" w:hAnsi="Times New Roman" w:cs="Times New Roman" w:hint="eastAsia"/>
          <w:b/>
          <w:i/>
          <w:szCs w:val="20"/>
          <w:lang w:val="en-US"/>
        </w:rPr>
        <w:t>servation</w:t>
      </w:r>
      <w:r w:rsidRPr="007B1EC7">
        <w:rPr>
          <w:rFonts w:ascii="Times New Roman" w:eastAsia="微软雅黑" w:hAnsi="Times New Roman" w:cs="Times New Roman"/>
          <w:b/>
          <w:i/>
          <w:szCs w:val="20"/>
          <w:lang w:val="en-US"/>
        </w:rPr>
        <w:t xml:space="preserve"> 6</w:t>
      </w:r>
      <w:r w:rsidRPr="007B1EC7">
        <w:rPr>
          <w:rFonts w:ascii="Times New Roman" w:eastAsia="微软雅黑" w:hAnsi="Times New Roman" w:cs="Times New Roman" w:hint="eastAsia"/>
          <w:b/>
          <w:i/>
          <w:szCs w:val="20"/>
          <w:lang w:val="en-US"/>
        </w:rPr>
        <w:t>:</w:t>
      </w:r>
      <w:r w:rsidRPr="007B1EC7">
        <w:rPr>
          <w:rFonts w:ascii="Times New Roman" w:eastAsia="微软雅黑" w:hAnsi="Times New Roman" w:cs="Times New Roman" w:hint="eastAsia"/>
          <w:i/>
          <w:szCs w:val="20"/>
          <w:lang w:val="en-US"/>
        </w:rPr>
        <w:t xml:space="preserve"> </w:t>
      </w:r>
      <w:r w:rsidR="00D8432C" w:rsidRPr="007B1EC7">
        <w:rPr>
          <w:rFonts w:ascii="Times New Roman" w:eastAsia="微软雅黑" w:hAnsi="Times New Roman" w:cs="Times New Roman"/>
          <w:i/>
          <w:szCs w:val="20"/>
          <w:lang w:val="en-US"/>
        </w:rPr>
        <w:t xml:space="preserve">For coefficient subset selection: </w:t>
      </w:r>
    </w:p>
    <w:p w:rsidR="00415701" w:rsidRPr="007B1EC7" w:rsidRDefault="00D8432C" w:rsidP="00D8432C">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lastRenderedPageBreak/>
        <w:t>F</w:t>
      </w:r>
      <w:r w:rsidR="00415701" w:rsidRPr="007B1EC7">
        <w:rPr>
          <w:rFonts w:ascii="Times New Roman" w:eastAsia="微软雅黑" w:hAnsi="Times New Roman" w:cs="Times New Roman"/>
          <w:i/>
          <w:szCs w:val="20"/>
          <w:lang w:val="en-US"/>
        </w:rPr>
        <w:t>ixing or configuring the number of selected entries can provide better performance-overhead trade-off than the case without subset selection.</w:t>
      </w:r>
    </w:p>
    <w:p w:rsidR="00D8432C" w:rsidRPr="007B1EC7" w:rsidRDefault="00844F24" w:rsidP="00D8432C">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Using same selected</w:t>
      </w:r>
      <w:r w:rsidR="00D8432C" w:rsidRPr="007B1EC7">
        <w:rPr>
          <w:rFonts w:ascii="Times New Roman" w:eastAsia="微软雅黑" w:hAnsi="Times New Roman" w:cs="Times New Roman"/>
          <w:i/>
          <w:szCs w:val="20"/>
          <w:lang w:val="en-US"/>
        </w:rPr>
        <w:t xml:space="preserve"> subset for the two polarizations further reduces the </w:t>
      </w:r>
      <w:r w:rsidR="00027B48" w:rsidRPr="007B1EC7">
        <w:rPr>
          <w:rFonts w:ascii="Times New Roman" w:eastAsia="微软雅黑" w:hAnsi="Times New Roman" w:cs="Times New Roman"/>
          <w:i/>
          <w:szCs w:val="20"/>
          <w:lang w:val="en-US"/>
        </w:rPr>
        <w:t>overhead significantly, and the performance is almost the same.</w:t>
      </w:r>
    </w:p>
    <w:p w:rsidR="00844F24" w:rsidRPr="007B1EC7" w:rsidRDefault="00415701" w:rsidP="00415701">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7B1EC7">
        <w:rPr>
          <w:rFonts w:ascii="Times New Roman" w:eastAsia="微软雅黑" w:hAnsi="Times New Roman" w:cs="Times New Roman"/>
          <w:b/>
          <w:i/>
          <w:szCs w:val="20"/>
          <w:lang w:val="en-US"/>
        </w:rPr>
        <w:t xml:space="preserve">Proposal 6: </w:t>
      </w:r>
      <w:r w:rsidRPr="007B1EC7">
        <w:rPr>
          <w:rFonts w:ascii="Times New Roman" w:eastAsia="微软雅黑" w:hAnsi="Times New Roman" w:cs="Times New Roman"/>
          <w:i/>
          <w:szCs w:val="20"/>
          <w:lang w:val="en-US"/>
        </w:rPr>
        <w:t>For Rel-16 codebook with FD compression, support subset selection of the coefficient matrix after compression</w:t>
      </w:r>
      <w:r w:rsidRPr="007B1EC7">
        <w:rPr>
          <w:rFonts w:ascii="Times New Roman" w:eastAsia="微软雅黑" w:hAnsi="Times New Roman" w:cs="Times New Roman" w:hint="eastAsia"/>
          <w:i/>
          <w:szCs w:val="20"/>
          <w:lang w:val="en-US"/>
        </w:rPr>
        <w:t>.</w:t>
      </w:r>
      <w:r w:rsidRPr="007B1EC7">
        <w:rPr>
          <w:rFonts w:ascii="Times New Roman" w:eastAsia="微软雅黑" w:hAnsi="Times New Roman" w:cs="Times New Roman"/>
          <w:i/>
          <w:szCs w:val="20"/>
          <w:lang w:val="en-US"/>
        </w:rPr>
        <w:t xml:space="preserve"> </w:t>
      </w:r>
    </w:p>
    <w:p w:rsidR="00844F24" w:rsidRPr="007B1EC7" w:rsidRDefault="00844F24" w:rsidP="00844F24">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Use same selected subset for the first L rows and last L rows in the 2L*M coefficient matrix. Only the entry locations of the selected subset in the first L rows are reported.</w:t>
      </w:r>
    </w:p>
    <w:p w:rsidR="00844F24" w:rsidRPr="007B1EC7" w:rsidRDefault="00844F24" w:rsidP="00844F24">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7B1EC7">
        <w:rPr>
          <w:rFonts w:ascii="Times New Roman" w:eastAsia="微软雅黑" w:hAnsi="Times New Roman" w:cs="Times New Roman"/>
          <w:i/>
          <w:szCs w:val="20"/>
          <w:lang w:val="en-US"/>
        </w:rPr>
        <w:t>The total number of reported coefficients is fixed or configured.</w:t>
      </w:r>
    </w:p>
    <w:p w:rsidR="00645458" w:rsidRDefault="00F16830">
      <w:pPr>
        <w:pStyle w:val="13"/>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hint="eastAsia"/>
          <w:b/>
          <w:sz w:val="22"/>
          <w:szCs w:val="22"/>
          <w:lang w:val="en-US"/>
        </w:rPr>
        <w:t>2.6 Codebook subset restriction</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In last RAN1 meeting, it has been agreed that codebook subset restriction</w:t>
      </w:r>
      <w:r>
        <w:rPr>
          <w:rFonts w:ascii="Times New Roman" w:eastAsia="微软雅黑" w:hAnsi="Times New Roman" w:cs="Times New Roman"/>
          <w:szCs w:val="20"/>
          <w:lang w:val="en-US"/>
        </w:rPr>
        <w:t xml:space="preserve"> (CSR)</w:t>
      </w:r>
      <w:r>
        <w:rPr>
          <w:rFonts w:ascii="Times New Roman" w:eastAsia="微软雅黑" w:hAnsi="Times New Roman" w:cs="Times New Roman" w:hint="eastAsia"/>
          <w:szCs w:val="20"/>
          <w:lang w:val="en-US"/>
        </w:rPr>
        <w:t xml:space="preserve"> is supported for the new codebook based on FD compression. </w:t>
      </w:r>
      <w:r>
        <w:rPr>
          <w:rFonts w:ascii="Times New Roman" w:eastAsia="微软雅黑" w:hAnsi="Times New Roman" w:cs="Times New Roman"/>
          <w:szCs w:val="20"/>
          <w:lang w:val="en-US"/>
        </w:rPr>
        <w:t xml:space="preserve">One FFS point here is to whether CSR on both FD basis vectors and spatial beams is supported. </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The basic function of CSR is to avoid inter-cell interference. The granularity of codeword restricted by CSR decides the gNB flexibility of performing interference management. In NR Rel-15 Type II codebook, the flexibility is quite high as gNB can not only restrict the spatial beam directions but also the power of each beams. As the Rel-16 FD compression codebook is an enhancement of the Rel-15 Type II codebook, we shall guarantee that the flexibility of Rel-16 CSR cannot be lower than the Rel-15 Type II codebook CSR. The CSR on FD basis vectors provides this flexibility.</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7:</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object w:dxaOrig="5140" w:dyaOrig="3520">
          <v:shape id="_x0000_i1027" type="#_x0000_t75" style="width:256.75pt;height:175.9pt" o:ole="">
            <v:imagedata r:id="rId24" o:title=""/>
          </v:shape>
          <o:OLEObject Type="Embed" ProgID="Visio.Drawing.11" ShapeID="_x0000_i1027" DrawAspect="Content" ObjectID="_1608802419" r:id="rId25"/>
        </w:object>
      </w:r>
    </w:p>
    <w:p w:rsidR="00645458" w:rsidRDefault="00F16830">
      <w:pPr>
        <w:pStyle w:val="13"/>
        <w:snapToGrid w:val="0"/>
        <w:spacing w:before="120" w:afterLines="50" w:after="120"/>
        <w:ind w:leftChars="0" w:left="0" w:firstLine="0"/>
        <w:jc w:val="center"/>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Fig. </w:t>
      </w:r>
      <w:r w:rsidR="00B90545">
        <w:rPr>
          <w:rFonts w:ascii="Times New Roman" w:eastAsia="微软雅黑" w:hAnsi="Times New Roman" w:cs="Times New Roman"/>
          <w:szCs w:val="20"/>
          <w:lang w:val="en-US"/>
        </w:rPr>
        <w:t>9</w:t>
      </w:r>
      <w:r>
        <w:rPr>
          <w:rFonts w:ascii="Times New Roman" w:eastAsia="微软雅黑" w:hAnsi="Times New Roman" w:cs="Times New Roman"/>
          <w:szCs w:val="20"/>
          <w:lang w:val="en-US"/>
        </w:rPr>
        <w:t xml:space="preserve"> Illustration of CSR on FD basis and spatial beams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The rationale of how CSR on FD basis vectors provides flexibility of interference management is depicted in Fig. </w:t>
      </w:r>
      <w:r w:rsidR="00B90545">
        <w:rPr>
          <w:rFonts w:ascii="Times New Roman" w:eastAsia="微软雅黑" w:hAnsi="Times New Roman" w:cs="Times New Roman"/>
          <w:szCs w:val="20"/>
          <w:lang w:val="en-US"/>
        </w:rPr>
        <w:t>9</w:t>
      </w:r>
      <w:r>
        <w:rPr>
          <w:rFonts w:ascii="Times New Roman" w:eastAsia="微软雅黑" w:hAnsi="Times New Roman" w:cs="Times New Roman"/>
          <w:szCs w:val="20"/>
          <w:lang w:val="en-US"/>
        </w:rPr>
        <w:t xml:space="preserve">. As a matter of fact, spatial beams are selected for the major clusters in the channel, whereas the FD basis vectors are selected for the major delay taps </w:t>
      </w:r>
      <w:r>
        <w:rPr>
          <w:rFonts w:ascii="Times New Roman" w:eastAsia="微软雅黑" w:hAnsi="Times New Roman" w:cs="Times New Roman" w:hint="eastAsia"/>
          <w:szCs w:val="20"/>
          <w:lang w:val="en-US"/>
        </w:rPr>
        <w:t>of</w:t>
      </w:r>
      <w:r>
        <w:rPr>
          <w:rFonts w:ascii="Times New Roman" w:eastAsia="微软雅黑" w:hAnsi="Times New Roman" w:cs="Times New Roman"/>
          <w:szCs w:val="20"/>
          <w:lang w:val="en-US"/>
        </w:rPr>
        <w:t xml:space="preserve"> each spatial cluster. Among the selected delay taps, some of the delay taps are strong enough to cause interference, while some of them may not impact the UEs in other cells. For example, for a group of UEs in the neighboring cell, for the three delay taps in the beam of each cluster, the first two are strong enough to interfere this group of UEs, whereas the delay tap t3 is relatively weak which does not cause significant interference. Hence gNB can still allow the UEs in its cell to select t3 if it is still stronger than the delay taps in other clusters’ beams, instead of forbidding the UEs in its cell to select the whole cluster.</w:t>
      </w:r>
    </w:p>
    <w:p w:rsidR="00EC613F" w:rsidRDefault="00EC613F">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addition, </w:t>
      </w:r>
      <w:r>
        <w:rPr>
          <w:rFonts w:eastAsia="微软雅黑"/>
          <w:szCs w:val="20"/>
        </w:rPr>
        <w:t>s</w:t>
      </w:r>
      <w:r w:rsidRPr="00291D94">
        <w:rPr>
          <w:rFonts w:eastAsia="微软雅黑"/>
          <w:szCs w:val="20"/>
        </w:rPr>
        <w:t xml:space="preserve">ince </w:t>
      </w:r>
      <w:r>
        <w:rPr>
          <w:rFonts w:eastAsia="微软雅黑"/>
          <w:szCs w:val="20"/>
        </w:rPr>
        <w:t xml:space="preserve">some </w:t>
      </w:r>
      <w:r w:rsidRPr="00291D94">
        <w:rPr>
          <w:rFonts w:eastAsia="微软雅黑"/>
          <w:szCs w:val="20"/>
        </w:rPr>
        <w:t>frequency correlation knowledge can be obtained from channel reciprocity</w:t>
      </w:r>
      <w:r>
        <w:rPr>
          <w:rFonts w:eastAsia="微软雅黑"/>
          <w:szCs w:val="20"/>
        </w:rPr>
        <w:t xml:space="preserve"> in some scenarios</w:t>
      </w:r>
      <w:r w:rsidRPr="00291D94">
        <w:rPr>
          <w:rFonts w:eastAsia="微软雅黑"/>
          <w:szCs w:val="20"/>
        </w:rPr>
        <w:t xml:space="preserve">, </w:t>
      </w:r>
      <w:r>
        <w:rPr>
          <w:rFonts w:eastAsia="微软雅黑"/>
          <w:szCs w:val="20"/>
        </w:rPr>
        <w:t>some</w:t>
      </w:r>
      <w:r w:rsidRPr="00291D94">
        <w:rPr>
          <w:rFonts w:eastAsia="微软雅黑"/>
          <w:szCs w:val="20"/>
        </w:rPr>
        <w:t xml:space="preserve"> candidate</w:t>
      </w:r>
      <w:r>
        <w:rPr>
          <w:rFonts w:eastAsia="微软雅黑"/>
          <w:szCs w:val="20"/>
        </w:rPr>
        <w:t xml:space="preserve"> spatial beams and </w:t>
      </w:r>
      <w:r w:rsidRPr="00291D94">
        <w:rPr>
          <w:rFonts w:eastAsia="微软雅黑"/>
          <w:szCs w:val="20"/>
        </w:rPr>
        <w:t>frequency domain basis functions</w:t>
      </w:r>
      <w:r>
        <w:rPr>
          <w:rFonts w:eastAsia="微软雅黑"/>
          <w:szCs w:val="20"/>
        </w:rPr>
        <w:t>/vectors</w:t>
      </w:r>
      <w:r w:rsidRPr="00291D94">
        <w:rPr>
          <w:rFonts w:eastAsia="微软雅黑"/>
          <w:szCs w:val="20"/>
        </w:rPr>
        <w:t xml:space="preserve"> can be </w:t>
      </w:r>
      <w:r>
        <w:rPr>
          <w:rFonts w:eastAsia="微软雅黑"/>
          <w:szCs w:val="20"/>
        </w:rPr>
        <w:t>restricted</w:t>
      </w:r>
      <w:r w:rsidRPr="00291D94">
        <w:rPr>
          <w:rFonts w:eastAsia="微软雅黑"/>
          <w:szCs w:val="20"/>
        </w:rPr>
        <w:t xml:space="preserve"> by configuring a subset of basis</w:t>
      </w:r>
      <w:r>
        <w:rPr>
          <w:rFonts w:eastAsia="微软雅黑"/>
          <w:szCs w:val="20"/>
        </w:rPr>
        <w:t xml:space="preserve">, </w:t>
      </w:r>
      <w:r w:rsidRPr="00291D94">
        <w:rPr>
          <w:rFonts w:eastAsia="微软雅黑"/>
          <w:szCs w:val="20"/>
        </w:rPr>
        <w:t>e.g. via gNB configuration of codebook subset restriction</w:t>
      </w:r>
      <w:r>
        <w:rPr>
          <w:rFonts w:eastAsia="微软雅黑"/>
          <w:szCs w:val="20"/>
        </w:rPr>
        <w:t>, to avoid the frequency correlation functions which are not preferred by gNB</w:t>
      </w:r>
      <w:r>
        <w:rPr>
          <w:rFonts w:eastAsia="微软雅黑"/>
          <w:szCs w:val="20"/>
        </w:rPr>
        <w:t>.  This can also potentially reduce</w:t>
      </w:r>
      <w:bookmarkStart w:id="2" w:name="_GoBack"/>
      <w:bookmarkEnd w:id="2"/>
      <w:r>
        <w:rPr>
          <w:rFonts w:eastAsia="微软雅黑"/>
          <w:szCs w:val="20"/>
        </w:rPr>
        <w:t xml:space="preserve"> UE processing provided than smaller subset is used.</w:t>
      </w:r>
    </w:p>
    <w:p w:rsidR="00645458" w:rsidRDefault="00F1683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lastRenderedPageBreak/>
        <w:t>Based on the above analysis, we have the following proposal.</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7: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DFT based compression codebook, CSR is supported on both FD domain basis vectors and spatial beams.</w:t>
      </w:r>
    </w:p>
    <w:p w:rsidR="00645458" w:rsidRDefault="00F1683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rsidR="00645458" w:rsidRDefault="00F16830">
      <w:pPr>
        <w:snapToGrid w:val="0"/>
        <w:spacing w:before="120" w:afterLines="50" w:after="120" w:line="240" w:lineRule="auto"/>
        <w:jc w:val="both"/>
        <w:rPr>
          <w:rFonts w:eastAsia="微软雅黑"/>
          <w:b/>
        </w:rPr>
      </w:pPr>
      <w:r>
        <w:rPr>
          <w:rFonts w:eastAsia="微软雅黑" w:hint="eastAsia"/>
          <w:b/>
        </w:rPr>
        <w:t>3.1 Enhancement on higher rank support</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rsidR="00645458" w:rsidRDefault="00F16830">
      <w:pPr>
        <w:snapToGrid w:val="0"/>
        <w:spacing w:before="120" w:afterLines="50" w:after="120" w:line="240" w:lineRule="auto"/>
        <w:jc w:val="both"/>
        <w:rPr>
          <w:rFonts w:eastAsia="微软雅黑"/>
          <w:sz w:val="20"/>
          <w:szCs w:val="20"/>
        </w:rPr>
      </w:pPr>
      <w:r>
        <w:rPr>
          <w:rFonts w:eastAsia="微软雅黑"/>
          <w:sz w:val="20"/>
          <w:szCs w:val="20"/>
        </w:rPr>
        <w:t>In fact, usually, a similar performance of 4+4 MU paring can also be achieved by a 2+2+2+2 MU pairing. Then to compare the rank-2 performance and rank-4 performance in MU, we should limit the total number of streams to the same maximum number of streams, e.g. 8, in gNB to enable both of the above two MU scheduling strategies. Further, in practical network, the gain of rank-4 MU may come from the case that gNB cannot find 4 UEs to be scheduled in the cell. Hence, in order to simulate this case, FTP traffic model should be assumed instead of full buffer.</w:t>
      </w:r>
    </w:p>
    <w:p w:rsidR="00645458" w:rsidRDefault="00F16830">
      <w:pPr>
        <w:jc w:val="both"/>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The introduction of a comb 4 would reduce the rank-4 overhead to a similar overhead as rank 1. Hence the CSI omission rule should be extended to finer granularity, e.g., including comb-4 pattern, if Type II CSI is extended to higher rank.</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8:</w:t>
      </w:r>
      <w:r>
        <w:rPr>
          <w:rFonts w:eastAsia="微软雅黑"/>
          <w:i/>
          <w:sz w:val="20"/>
          <w:szCs w:val="20"/>
        </w:rPr>
        <w:t xml:space="preserve"> If Type II is extended to higher rank, the CSI omission rule for partial sub-bands should also be extended.</w:t>
      </w:r>
    </w:p>
    <w:p w:rsidR="00645458" w:rsidRDefault="00F16830">
      <w:pPr>
        <w:snapToGrid w:val="0"/>
        <w:spacing w:before="120" w:afterLines="50" w:after="120" w:line="240" w:lineRule="auto"/>
        <w:jc w:val="both"/>
        <w:rPr>
          <w:rFonts w:eastAsia="微软雅黑"/>
          <w:b/>
        </w:rPr>
      </w:pPr>
      <w:r>
        <w:rPr>
          <w:rFonts w:eastAsia="微软雅黑" w:hint="eastAsia"/>
          <w:b/>
        </w:rPr>
        <w:t>3.2 Simulation results</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To compare the performance of higher rank Type II CSI, we conduct simulations on rank-2 Type II codebook and rank-4 Type II codebook</w:t>
      </w:r>
      <w:r>
        <w:rPr>
          <w:rFonts w:eastAsia="微软雅黑"/>
          <w:sz w:val="20"/>
          <w:szCs w:val="20"/>
        </w:rPr>
        <w:t xml:space="preserve"> in 3D UMi scenario</w:t>
      </w:r>
      <w:r>
        <w:rPr>
          <w:rFonts w:eastAsia="微软雅黑" w:hint="eastAsia"/>
          <w:sz w:val="20"/>
          <w:szCs w:val="20"/>
        </w:rPr>
        <w:t xml:space="preserve">. </w:t>
      </w:r>
      <w:r>
        <w:rPr>
          <w:rFonts w:eastAsia="微软雅黑"/>
          <w:sz w:val="20"/>
          <w:szCs w:val="20"/>
        </w:rPr>
        <w:t>The total number of gNB streams is 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rsidR="00645458" w:rsidRDefault="00F16830">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af5"/>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645458">
        <w:trPr>
          <w:jc w:val="center"/>
        </w:trPr>
        <w:tc>
          <w:tcPr>
            <w:tcW w:w="1509" w:type="dxa"/>
          </w:tcPr>
          <w:p w:rsidR="00645458" w:rsidRDefault="00645458">
            <w:pPr>
              <w:pStyle w:val="10"/>
              <w:jc w:val="center"/>
              <w:rPr>
                <w:rFonts w:eastAsia="微软雅黑"/>
                <w:iCs/>
                <w:sz w:val="20"/>
                <w:szCs w:val="20"/>
              </w:rPr>
            </w:pPr>
          </w:p>
        </w:tc>
        <w:tc>
          <w:tcPr>
            <w:tcW w:w="1192" w:type="dxa"/>
          </w:tcPr>
          <w:p w:rsidR="00645458" w:rsidRDefault="00F16830">
            <w:pPr>
              <w:pStyle w:val="10"/>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rsidR="00645458" w:rsidRDefault="00F16830">
            <w:pPr>
              <w:pStyle w:val="10"/>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rsidR="00645458" w:rsidRDefault="00F16830">
            <w:pPr>
              <w:pStyle w:val="10"/>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rsidR="00645458" w:rsidRDefault="00F16830">
            <w:pPr>
              <w:pStyle w:val="10"/>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rsidR="00645458" w:rsidRDefault="00F16830">
            <w:pPr>
              <w:pStyle w:val="10"/>
              <w:jc w:val="center"/>
              <w:rPr>
                <w:rFonts w:eastAsia="微软雅黑"/>
                <w:iCs/>
                <w:sz w:val="20"/>
                <w:szCs w:val="20"/>
              </w:rPr>
            </w:pPr>
            <w:r>
              <w:rPr>
                <w:rFonts w:eastAsia="微软雅黑"/>
                <w:iCs/>
                <w:sz w:val="20"/>
                <w:szCs w:val="20"/>
              </w:rPr>
              <w:t>RU</w:t>
            </w:r>
          </w:p>
        </w:tc>
      </w:tr>
      <w:tr w:rsidR="00645458">
        <w:trPr>
          <w:jc w:val="center"/>
        </w:trPr>
        <w:tc>
          <w:tcPr>
            <w:tcW w:w="1509" w:type="dxa"/>
          </w:tcPr>
          <w:p w:rsidR="00645458" w:rsidRDefault="00F16830">
            <w:pPr>
              <w:pStyle w:val="10"/>
              <w:jc w:val="center"/>
              <w:rPr>
                <w:rFonts w:eastAsia="微软雅黑"/>
                <w:iCs/>
                <w:sz w:val="20"/>
                <w:szCs w:val="20"/>
              </w:rPr>
            </w:pPr>
            <w:r>
              <w:rPr>
                <w:rFonts w:eastAsia="微软雅黑"/>
                <w:sz w:val="20"/>
                <w:szCs w:val="20"/>
              </w:rPr>
              <w:t>Type II-rank2</w:t>
            </w:r>
          </w:p>
        </w:tc>
        <w:tc>
          <w:tcPr>
            <w:tcW w:w="1192" w:type="dxa"/>
          </w:tcPr>
          <w:p w:rsidR="00645458" w:rsidRDefault="00F16830">
            <w:pPr>
              <w:pStyle w:val="10"/>
              <w:jc w:val="center"/>
              <w:rPr>
                <w:sz w:val="20"/>
                <w:szCs w:val="20"/>
              </w:rPr>
            </w:pPr>
            <w:r>
              <w:rPr>
                <w:sz w:val="20"/>
                <w:szCs w:val="20"/>
              </w:rPr>
              <w:t>46.98</w:t>
            </w:r>
          </w:p>
        </w:tc>
        <w:tc>
          <w:tcPr>
            <w:tcW w:w="1238" w:type="dxa"/>
          </w:tcPr>
          <w:p w:rsidR="00645458" w:rsidRDefault="00F16830">
            <w:pPr>
              <w:pStyle w:val="10"/>
              <w:jc w:val="center"/>
              <w:rPr>
                <w:sz w:val="20"/>
                <w:szCs w:val="20"/>
              </w:rPr>
            </w:pPr>
            <w:r>
              <w:rPr>
                <w:sz w:val="20"/>
                <w:szCs w:val="20"/>
              </w:rPr>
              <w:t>22.13</w:t>
            </w:r>
          </w:p>
        </w:tc>
        <w:tc>
          <w:tcPr>
            <w:tcW w:w="1215" w:type="dxa"/>
          </w:tcPr>
          <w:p w:rsidR="00645458" w:rsidRDefault="00F16830">
            <w:pPr>
              <w:pStyle w:val="10"/>
              <w:jc w:val="center"/>
              <w:rPr>
                <w:sz w:val="20"/>
                <w:szCs w:val="20"/>
              </w:rPr>
            </w:pPr>
            <w:r>
              <w:rPr>
                <w:sz w:val="20"/>
                <w:szCs w:val="20"/>
              </w:rPr>
              <w:t>48.78</w:t>
            </w:r>
          </w:p>
        </w:tc>
        <w:tc>
          <w:tcPr>
            <w:tcW w:w="1245" w:type="dxa"/>
          </w:tcPr>
          <w:p w:rsidR="00645458" w:rsidRDefault="00F16830">
            <w:pPr>
              <w:pStyle w:val="10"/>
              <w:jc w:val="center"/>
              <w:rPr>
                <w:sz w:val="20"/>
                <w:szCs w:val="20"/>
              </w:rPr>
            </w:pPr>
            <w:r>
              <w:rPr>
                <w:sz w:val="20"/>
                <w:szCs w:val="20"/>
              </w:rPr>
              <w:t>63.49</w:t>
            </w:r>
          </w:p>
        </w:tc>
        <w:tc>
          <w:tcPr>
            <w:tcW w:w="1162" w:type="dxa"/>
          </w:tcPr>
          <w:p w:rsidR="00645458" w:rsidRDefault="00F16830">
            <w:pPr>
              <w:pStyle w:val="10"/>
              <w:jc w:val="center"/>
              <w:rPr>
                <w:sz w:val="20"/>
                <w:szCs w:val="20"/>
              </w:rPr>
            </w:pPr>
            <w:r>
              <w:rPr>
                <w:sz w:val="20"/>
                <w:szCs w:val="20"/>
              </w:rPr>
              <w:t>0.47</w:t>
            </w:r>
          </w:p>
        </w:tc>
      </w:tr>
      <w:tr w:rsidR="00645458">
        <w:trPr>
          <w:jc w:val="center"/>
        </w:trPr>
        <w:tc>
          <w:tcPr>
            <w:tcW w:w="1509" w:type="dxa"/>
          </w:tcPr>
          <w:p w:rsidR="00645458" w:rsidRDefault="00F16830">
            <w:pPr>
              <w:pStyle w:val="10"/>
              <w:jc w:val="center"/>
              <w:rPr>
                <w:rFonts w:eastAsia="微软雅黑"/>
                <w:iCs/>
                <w:sz w:val="20"/>
                <w:szCs w:val="20"/>
              </w:rPr>
            </w:pPr>
            <w:r>
              <w:rPr>
                <w:rFonts w:eastAsia="微软雅黑"/>
                <w:sz w:val="20"/>
                <w:szCs w:val="20"/>
              </w:rPr>
              <w:t>Type II-rank4</w:t>
            </w:r>
          </w:p>
        </w:tc>
        <w:tc>
          <w:tcPr>
            <w:tcW w:w="1192" w:type="dxa"/>
          </w:tcPr>
          <w:p w:rsidR="00645458" w:rsidRDefault="00F16830">
            <w:pPr>
              <w:pStyle w:val="10"/>
              <w:jc w:val="center"/>
              <w:rPr>
                <w:sz w:val="20"/>
                <w:szCs w:val="20"/>
              </w:rPr>
            </w:pPr>
            <w:r>
              <w:rPr>
                <w:sz w:val="20"/>
                <w:szCs w:val="20"/>
              </w:rPr>
              <w:t>55.25</w:t>
            </w:r>
          </w:p>
          <w:p w:rsidR="00645458" w:rsidRDefault="00F16830">
            <w:pPr>
              <w:pStyle w:val="10"/>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rsidR="00645458" w:rsidRDefault="00F16830">
            <w:pPr>
              <w:pStyle w:val="10"/>
              <w:jc w:val="center"/>
              <w:rPr>
                <w:sz w:val="20"/>
                <w:szCs w:val="20"/>
              </w:rPr>
            </w:pPr>
            <w:r>
              <w:rPr>
                <w:sz w:val="20"/>
                <w:szCs w:val="20"/>
              </w:rPr>
              <w:t>18.97</w:t>
            </w:r>
          </w:p>
          <w:p w:rsidR="00645458" w:rsidRDefault="00F16830">
            <w:pPr>
              <w:pStyle w:val="10"/>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rsidR="00645458" w:rsidRDefault="00F16830">
            <w:pPr>
              <w:pStyle w:val="10"/>
              <w:jc w:val="center"/>
              <w:rPr>
                <w:sz w:val="20"/>
                <w:szCs w:val="20"/>
              </w:rPr>
            </w:pPr>
            <w:r>
              <w:rPr>
                <w:sz w:val="20"/>
                <w:szCs w:val="20"/>
              </w:rPr>
              <w:t>52.63</w:t>
            </w:r>
          </w:p>
          <w:p w:rsidR="00645458" w:rsidRDefault="00F16830">
            <w:pPr>
              <w:pStyle w:val="10"/>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rsidR="00645458" w:rsidRDefault="00F16830">
            <w:pPr>
              <w:pStyle w:val="10"/>
              <w:jc w:val="center"/>
              <w:rPr>
                <w:sz w:val="20"/>
                <w:szCs w:val="20"/>
              </w:rPr>
            </w:pPr>
            <w:r>
              <w:rPr>
                <w:sz w:val="20"/>
                <w:szCs w:val="20"/>
              </w:rPr>
              <w:t>100.62</w:t>
            </w:r>
          </w:p>
          <w:p w:rsidR="00645458" w:rsidRDefault="00F16830">
            <w:pPr>
              <w:pStyle w:val="10"/>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rsidR="00645458" w:rsidRDefault="00F16830">
            <w:pPr>
              <w:pStyle w:val="10"/>
              <w:jc w:val="center"/>
              <w:rPr>
                <w:rFonts w:eastAsia="微软雅黑"/>
                <w:iCs/>
                <w:sz w:val="20"/>
                <w:szCs w:val="20"/>
              </w:rPr>
            </w:pPr>
            <w:r>
              <w:rPr>
                <w:rFonts w:eastAsia="微软雅黑"/>
                <w:iCs/>
                <w:sz w:val="20"/>
                <w:szCs w:val="20"/>
              </w:rPr>
              <w:t>0.46</w:t>
            </w:r>
          </w:p>
        </w:tc>
      </w:tr>
    </w:tbl>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the rank value. The issue can be solved by UE specific configuration of the allowed RI values. For cell-edge UEs, gNB can forbid them to select higher ranks by RI restriction.</w:t>
      </w:r>
    </w:p>
    <w:p w:rsidR="00645458" w:rsidRDefault="00F1683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8: </w:t>
      </w:r>
      <w:r>
        <w:rPr>
          <w:rFonts w:eastAsia="微软雅黑"/>
          <w:i/>
          <w:sz w:val="20"/>
          <w:szCs w:val="20"/>
        </w:rPr>
        <w:t>Comparing Type II rank 4 and Type II rank 2, rank 4 achieves average throughput gain but suffers cell-edge throughput loss.</w:t>
      </w:r>
    </w:p>
    <w:p w:rsidR="00645458" w:rsidRDefault="00F1683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9: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1"/>
        <w:tabs>
          <w:tab w:val="clear" w:pos="432"/>
        </w:tabs>
        <w:snapToGrid w:val="0"/>
        <w:spacing w:beforeLines="50" w:before="120" w:afterLines="50" w:after="120"/>
        <w:ind w:left="431" w:hanging="431"/>
        <w:rPr>
          <w:sz w:val="28"/>
          <w:lang w:val="en-US"/>
        </w:rPr>
      </w:pPr>
      <w:r>
        <w:rPr>
          <w:sz w:val="28"/>
          <w:lang w:val="en-US"/>
        </w:rPr>
        <w:t>Conclusion</w:t>
      </w:r>
    </w:p>
    <w:p w:rsidR="00645458" w:rsidRDefault="00F16830">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In this contribution,</w:t>
      </w:r>
      <w:r>
        <w:rPr>
          <w:rFonts w:eastAsia="微软雅黑"/>
          <w:sz w:val="20"/>
          <w:szCs w:val="20"/>
        </w:rPr>
        <w:t xml:space="preserve"> we discuss remaining issues in Type II enhancement for MU-MIMO. Based on the discussion, we have the following observations and proposals.</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 xml:space="preserve">Observation 1: </w:t>
      </w:r>
      <w:r>
        <w:rPr>
          <w:rFonts w:eastAsia="微软雅黑"/>
          <w:i/>
          <w:sz w:val="20"/>
          <w:szCs w:val="20"/>
        </w:rPr>
        <w:t>Independent basis does not provide clear gain over common basis with higher overhead.</w:t>
      </w:r>
    </w:p>
    <w:p w:rsidR="00645458" w:rsidRDefault="00F1683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2: </w:t>
      </w:r>
      <w:r>
        <w:rPr>
          <w:rFonts w:eastAsia="微软雅黑"/>
          <w:i/>
          <w:sz w:val="20"/>
          <w:szCs w:val="20"/>
        </w:rPr>
        <w:t>M=6 almost reaches the overhead of Rel-15 Type II for 10MHz with 15KHz SCS. Increasing M does not increase the performance significantly after M reaches 5.</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3:</w:t>
      </w:r>
      <w:r>
        <w:rPr>
          <w:rFonts w:ascii="Times New Roman" w:eastAsia="微软雅黑" w:hAnsi="Times New Roman" w:cs="Times New Roman"/>
          <w:i/>
          <w:szCs w:val="20"/>
          <w:lang w:val="en-US"/>
        </w:rPr>
        <w:t xml:space="preserve"> PMI FD unit smaller than CQI sub-band size can achieve significant performance gain with similar overhead. Smaller size of PMI FD unit can provide better Performance-Overhead trade-off.</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Observation </w:t>
      </w:r>
      <w:r>
        <w:rPr>
          <w:rFonts w:ascii="Times New Roman" w:eastAsia="微软雅黑" w:hAnsi="Times New Roman" w:cs="Times New Roman"/>
          <w:b/>
          <w:i/>
          <w:szCs w:val="20"/>
          <w:lang w:val="en-US"/>
        </w:rPr>
        <w:t>4</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Segmentation </w:t>
      </w:r>
      <w:r>
        <w:rPr>
          <w:rFonts w:ascii="Times New Roman" w:eastAsia="微软雅黑" w:hAnsi="Times New Roman" w:cs="Times New Roman"/>
          <w:i/>
          <w:szCs w:val="20"/>
          <w:lang w:val="en-US"/>
        </w:rPr>
        <w:t>can provide performance gain and better Performance-Overhead trade-off. Increasing the number of segments can provide better gain than increasing the number of FD basis vectors.</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5:</w:t>
      </w:r>
      <w:r>
        <w:rPr>
          <w:rFonts w:ascii="Times New Roman" w:eastAsia="微软雅黑" w:hAnsi="Times New Roman" w:cs="Times New Roman"/>
          <w:i/>
          <w:szCs w:val="20"/>
          <w:lang w:val="en-US"/>
        </w:rPr>
        <w:t xml:space="preserve"> Quantization approach Alt 2 can achieve better Performance-Overhead trade-off than Alt 1.</w:t>
      </w:r>
    </w:p>
    <w:p w:rsidR="00A36028" w:rsidRPr="004D151C" w:rsidRDefault="00A36028" w:rsidP="00A36028">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4D151C">
        <w:rPr>
          <w:rFonts w:ascii="Times New Roman" w:eastAsia="微软雅黑" w:hAnsi="Times New Roman" w:cs="Times New Roman" w:hint="eastAsia"/>
          <w:b/>
          <w:i/>
          <w:szCs w:val="20"/>
          <w:lang w:val="en-US"/>
        </w:rPr>
        <w:t>O</w:t>
      </w:r>
      <w:r w:rsidRPr="004D151C">
        <w:rPr>
          <w:rFonts w:ascii="Times New Roman" w:eastAsia="微软雅黑" w:hAnsi="Times New Roman" w:cs="Times New Roman"/>
          <w:b/>
          <w:i/>
          <w:szCs w:val="20"/>
          <w:lang w:val="en-US"/>
        </w:rPr>
        <w:t>b</w:t>
      </w:r>
      <w:r w:rsidRPr="004D151C">
        <w:rPr>
          <w:rFonts w:ascii="Times New Roman" w:eastAsia="微软雅黑" w:hAnsi="Times New Roman" w:cs="Times New Roman" w:hint="eastAsia"/>
          <w:b/>
          <w:i/>
          <w:szCs w:val="20"/>
          <w:lang w:val="en-US"/>
        </w:rPr>
        <w:t>servation</w:t>
      </w:r>
      <w:r w:rsidRPr="004D151C">
        <w:rPr>
          <w:rFonts w:ascii="Times New Roman" w:eastAsia="微软雅黑" w:hAnsi="Times New Roman" w:cs="Times New Roman"/>
          <w:b/>
          <w:i/>
          <w:szCs w:val="20"/>
          <w:lang w:val="en-US"/>
        </w:rPr>
        <w:t xml:space="preserve"> 6</w:t>
      </w:r>
      <w:r w:rsidRPr="004D151C">
        <w:rPr>
          <w:rFonts w:ascii="Times New Roman" w:eastAsia="微软雅黑" w:hAnsi="Times New Roman" w:cs="Times New Roman" w:hint="eastAsia"/>
          <w:b/>
          <w:i/>
          <w:szCs w:val="20"/>
          <w:lang w:val="en-US"/>
        </w:rPr>
        <w:t>:</w:t>
      </w:r>
      <w:r w:rsidRPr="004D151C">
        <w:rPr>
          <w:rFonts w:ascii="Times New Roman" w:eastAsia="微软雅黑" w:hAnsi="Times New Roman" w:cs="Times New Roman" w:hint="eastAsia"/>
          <w:i/>
          <w:szCs w:val="20"/>
          <w:lang w:val="en-US"/>
        </w:rPr>
        <w:t xml:space="preserve"> </w:t>
      </w:r>
      <w:r w:rsidRPr="004D151C">
        <w:rPr>
          <w:rFonts w:ascii="Times New Roman" w:eastAsia="微软雅黑" w:hAnsi="Times New Roman" w:cs="Times New Roman"/>
          <w:i/>
          <w:szCs w:val="20"/>
          <w:lang w:val="en-US"/>
        </w:rPr>
        <w:t xml:space="preserve">For coefficient subset selection: </w:t>
      </w:r>
    </w:p>
    <w:p w:rsidR="00A36028" w:rsidRPr="004D151C" w:rsidRDefault="00A36028" w:rsidP="00A36028">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4D151C">
        <w:rPr>
          <w:rFonts w:ascii="Times New Roman" w:eastAsia="微软雅黑" w:hAnsi="Times New Roman" w:cs="Times New Roman"/>
          <w:i/>
          <w:szCs w:val="20"/>
          <w:lang w:val="en-US"/>
        </w:rPr>
        <w:t>Fixing or configuring the number of selected entries can provide better performance-overhead trade-off than the case without subset selection.</w:t>
      </w:r>
    </w:p>
    <w:p w:rsidR="00A36028" w:rsidRPr="004D151C" w:rsidRDefault="00A36028" w:rsidP="00A36028">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4D151C">
        <w:rPr>
          <w:rFonts w:ascii="Times New Roman" w:eastAsia="微软雅黑" w:hAnsi="Times New Roman" w:cs="Times New Roman"/>
          <w:i/>
          <w:szCs w:val="20"/>
          <w:lang w:val="en-US"/>
        </w:rPr>
        <w:t>Using same selected subset for the two polarizations further reduces the overhead significantly, and the performance is almost the same.</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Observation 7:</w:t>
      </w:r>
      <w:r>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Default="00F1683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8: </w:t>
      </w:r>
      <w:r>
        <w:rPr>
          <w:rFonts w:eastAsia="微软雅黑"/>
          <w:i/>
          <w:sz w:val="20"/>
          <w:szCs w:val="20"/>
        </w:rPr>
        <w:t>Comparing Type II rank 4 and Type II rank 2, rank 4 achieves average throughput gain but suffers cell-edge throughput loss.</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1:</w:t>
      </w:r>
      <w:r>
        <w:rPr>
          <w:rFonts w:eastAsia="微软雅黑"/>
          <w:i/>
          <w:sz w:val="20"/>
          <w:szCs w:val="20"/>
        </w:rPr>
        <w:t xml:space="preserve"> Support common FD basis vectors for all the spatial beams.</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The maximum supported M value is no larger than 6.</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3</w:t>
      </w:r>
      <w:r>
        <w:rPr>
          <w:rFonts w:ascii="Times New Roman" w:eastAsia="微软雅黑" w:hAnsi="Times New Roman" w:cs="Times New Roman" w:hint="eastAsia"/>
          <w:b/>
          <w:i/>
          <w:szCs w:val="20"/>
          <w:lang w:val="en-US"/>
        </w:rPr>
        <w:t>:</w:t>
      </w:r>
      <w:r>
        <w:rPr>
          <w:rFonts w:ascii="Times New Roman" w:eastAsia="微软雅黑" w:hAnsi="Times New Roman" w:cs="Times New Roman"/>
          <w:i/>
          <w:szCs w:val="20"/>
          <w:lang w:val="en-US"/>
        </w:rPr>
        <w:t xml:space="preserve"> Support independent configuration of PMI FD unit size. The candidate values are {2,4,8,16} with restriction that PMI FD unit size &lt;= CQI sub-band size.</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4</w:t>
      </w:r>
      <w:r>
        <w:rPr>
          <w:rFonts w:ascii="Times New Roman" w:eastAsia="微软雅黑" w:hAnsi="Times New Roman" w:cs="Times New Roman" w:hint="eastAsia"/>
          <w:b/>
          <w:i/>
          <w:szCs w:val="20"/>
          <w:lang w:val="en-US"/>
        </w:rPr>
        <w:t>:</w:t>
      </w:r>
      <w:r>
        <w:rPr>
          <w:rFonts w:ascii="Times New Roman" w:eastAsia="微软雅黑" w:hAnsi="Times New Roman" w:cs="Times New Roman" w:hint="eastAsia"/>
          <w:i/>
          <w:szCs w:val="20"/>
          <w:lang w:val="en-US"/>
        </w:rPr>
        <w:t xml:space="preserve"> </w:t>
      </w:r>
      <w:r>
        <w:rPr>
          <w:rFonts w:ascii="Times New Roman" w:eastAsia="微软雅黑" w:hAnsi="Times New Roman" w:cs="Times New Roman"/>
          <w:i/>
          <w:szCs w:val="20"/>
          <w:lang w:val="en-US"/>
        </w:rPr>
        <w:t>For the CSI reporting band containing S PMI FD units, at least for M&lt;=3, support dividing the S FD units into two segments</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 xml:space="preserve">Segment 1 contains FD unit 1 to </w:t>
      </w:r>
      <m:oMath>
        <m:d>
          <m:dPr>
            <m:begChr m:val="⌈"/>
            <m:endChr m:val="⌉"/>
            <m:ctrlPr>
              <w:rPr>
                <w:rFonts w:ascii="Cambria Math" w:eastAsia="微软雅黑" w:hAnsi="Cambria Math" w:cs="Times New Roman"/>
                <w:szCs w:val="20"/>
                <w:lang w:val="en-US"/>
              </w:rPr>
            </m:ctrlPr>
          </m:dPr>
          <m:e>
            <m:r>
              <m:rPr>
                <m:sty m:val="p"/>
              </m:rPr>
              <w:rPr>
                <w:rFonts w:ascii="Cambria Math" w:eastAsia="微软雅黑" w:hAnsi="Cambria Math" w:cs="Times New Roman"/>
                <w:szCs w:val="20"/>
                <w:lang w:val="en-US"/>
              </w:rPr>
              <m:t>S/2</m:t>
            </m:r>
          </m:e>
        </m:d>
      </m:oMath>
      <w:r>
        <w:rPr>
          <w:rFonts w:ascii="Times New Roman" w:eastAsia="微软雅黑" w:hAnsi="Times New Roman" w:cs="Times New Roman"/>
          <w:i/>
          <w:szCs w:val="20"/>
          <w:lang w:val="en-US"/>
        </w:rPr>
        <w:t xml:space="preserve">, and Segment 2 contains FD unit </w:t>
      </w:r>
      <m:oMath>
        <m:d>
          <m:dPr>
            <m:begChr m:val="⌈"/>
            <m:endChr m:val="⌉"/>
            <m:ctrlPr>
              <w:rPr>
                <w:rFonts w:ascii="Cambria Math" w:eastAsia="微软雅黑" w:hAnsi="Cambria Math" w:cs="Times New Roman"/>
                <w:szCs w:val="20"/>
                <w:lang w:val="en-US"/>
              </w:rPr>
            </m:ctrlPr>
          </m:dPr>
          <m:e>
            <m:r>
              <m:rPr>
                <m:sty m:val="p"/>
              </m:rPr>
              <w:rPr>
                <w:rFonts w:ascii="Cambria Math" w:eastAsia="微软雅黑" w:hAnsi="Cambria Math" w:cs="Times New Roman"/>
                <w:szCs w:val="20"/>
                <w:lang w:val="en-US"/>
              </w:rPr>
              <m:t>S/2</m:t>
            </m:r>
          </m:e>
        </m:d>
      </m:oMath>
      <w:r>
        <w:rPr>
          <w:rFonts w:ascii="Times New Roman" w:eastAsia="微软雅黑" w:hAnsi="Times New Roman" w:cs="Times New Roman"/>
          <w:i/>
          <w:szCs w:val="20"/>
          <w:lang w:val="en-US"/>
        </w:rPr>
        <w:t xml:space="preserve">+1 to S. </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 xml:space="preserve">One FD compression is performed on one segment. </w:t>
      </w:r>
    </w:p>
    <w:p w:rsidR="00645458" w:rsidRDefault="00F16830">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Pr>
          <w:rFonts w:ascii="Times New Roman" w:eastAsia="微软雅黑" w:hAnsi="Times New Roman" w:cs="Times New Roman"/>
          <w:i/>
          <w:szCs w:val="20"/>
          <w:lang w:val="en-US"/>
        </w:rPr>
        <w:t>The length of FD compression vector is the number of FD units contained in each segment.</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5</w:t>
      </w:r>
      <w:r>
        <w:rPr>
          <w:rFonts w:ascii="Times New Roman" w:eastAsia="微软雅黑" w:hAnsi="Times New Roman" w:cs="Times New Roman" w:hint="eastAsia"/>
          <w:b/>
          <w:i/>
          <w:szCs w:val="20"/>
          <w:lang w:val="en-US"/>
        </w:rPr>
        <w:t xml:space="preserve">: </w:t>
      </w:r>
      <w:r>
        <w:rPr>
          <w:rFonts w:ascii="Times New Roman" w:eastAsia="微软雅黑" w:hAnsi="Times New Roman" w:cs="Times New Roman"/>
          <w:i/>
          <w:szCs w:val="20"/>
          <w:lang w:val="en-US"/>
        </w:rPr>
        <w:t>For the coefficient quantization after compression, support Alt 2: Rel.15 3-bit wideband amplitude for each beam, 2-bit differential amplitude for FD coefficients; Rel.15 QPSK and 8PSK co-phasing.</w:t>
      </w:r>
    </w:p>
    <w:p w:rsidR="00A36028" w:rsidRPr="004D151C" w:rsidRDefault="00A36028" w:rsidP="00A36028">
      <w:pPr>
        <w:pStyle w:val="13"/>
        <w:snapToGrid w:val="0"/>
        <w:spacing w:before="120" w:afterLines="50" w:after="120"/>
        <w:ind w:leftChars="0" w:left="0" w:firstLine="0"/>
        <w:jc w:val="both"/>
        <w:rPr>
          <w:rFonts w:ascii="Times New Roman" w:eastAsia="微软雅黑" w:hAnsi="Times New Roman" w:cs="Times New Roman"/>
          <w:i/>
          <w:szCs w:val="20"/>
          <w:lang w:val="en-US"/>
        </w:rPr>
      </w:pPr>
      <w:r w:rsidRPr="004D151C">
        <w:rPr>
          <w:rFonts w:ascii="Times New Roman" w:eastAsia="微软雅黑" w:hAnsi="Times New Roman" w:cs="Times New Roman"/>
          <w:b/>
          <w:i/>
          <w:szCs w:val="20"/>
          <w:lang w:val="en-US"/>
        </w:rPr>
        <w:t xml:space="preserve">Proposal 6: </w:t>
      </w:r>
      <w:r w:rsidRPr="004D151C">
        <w:rPr>
          <w:rFonts w:ascii="Times New Roman" w:eastAsia="微软雅黑" w:hAnsi="Times New Roman" w:cs="Times New Roman"/>
          <w:i/>
          <w:szCs w:val="20"/>
          <w:lang w:val="en-US"/>
        </w:rPr>
        <w:t>For Rel-16 codebook with FD compression, support subset selection of the coefficient matrix after compression</w:t>
      </w:r>
      <w:r w:rsidRPr="004D151C">
        <w:rPr>
          <w:rFonts w:ascii="Times New Roman" w:eastAsia="微软雅黑" w:hAnsi="Times New Roman" w:cs="Times New Roman" w:hint="eastAsia"/>
          <w:i/>
          <w:szCs w:val="20"/>
          <w:lang w:val="en-US"/>
        </w:rPr>
        <w:t>.</w:t>
      </w:r>
      <w:r w:rsidRPr="004D151C">
        <w:rPr>
          <w:rFonts w:ascii="Times New Roman" w:eastAsia="微软雅黑" w:hAnsi="Times New Roman" w:cs="Times New Roman"/>
          <w:i/>
          <w:szCs w:val="20"/>
          <w:lang w:val="en-US"/>
        </w:rPr>
        <w:t xml:space="preserve"> </w:t>
      </w:r>
    </w:p>
    <w:p w:rsidR="00A36028" w:rsidRPr="004D151C" w:rsidRDefault="00A36028" w:rsidP="00A36028">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4D151C">
        <w:rPr>
          <w:rFonts w:ascii="Times New Roman" w:eastAsia="微软雅黑" w:hAnsi="Times New Roman" w:cs="Times New Roman"/>
          <w:i/>
          <w:szCs w:val="20"/>
          <w:lang w:val="en-US"/>
        </w:rPr>
        <w:t>Use same selected subset for the first L rows and last L rows in the 2L*M coefficient matrix. Only the entry locations of the selected subset in the first L rows are reported.</w:t>
      </w:r>
    </w:p>
    <w:p w:rsidR="00A36028" w:rsidRPr="004D151C" w:rsidRDefault="00A36028" w:rsidP="00A36028">
      <w:pPr>
        <w:pStyle w:val="13"/>
        <w:numPr>
          <w:ilvl w:val="0"/>
          <w:numId w:val="8"/>
        </w:numPr>
        <w:snapToGrid w:val="0"/>
        <w:spacing w:before="120" w:afterLines="50" w:after="120"/>
        <w:ind w:leftChars="0"/>
        <w:jc w:val="both"/>
        <w:rPr>
          <w:rFonts w:ascii="Times New Roman" w:eastAsia="微软雅黑" w:hAnsi="Times New Roman" w:cs="Times New Roman"/>
          <w:i/>
          <w:szCs w:val="20"/>
          <w:lang w:val="en-US"/>
        </w:rPr>
      </w:pPr>
      <w:r w:rsidRPr="004D151C">
        <w:rPr>
          <w:rFonts w:ascii="Times New Roman" w:eastAsia="微软雅黑" w:hAnsi="Times New Roman" w:cs="Times New Roman"/>
          <w:i/>
          <w:szCs w:val="20"/>
          <w:lang w:val="en-US"/>
        </w:rPr>
        <w:t>The total number of reported coefficients is fixed or configured.</w:t>
      </w:r>
    </w:p>
    <w:p w:rsidR="00645458" w:rsidRDefault="00F16830">
      <w:pPr>
        <w:pStyle w:val="13"/>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7: </w:t>
      </w:r>
      <w:r>
        <w:rPr>
          <w:rFonts w:ascii="Times New Roman" w:eastAsia="微软雅黑" w:hAnsi="Times New Roman" w:cs="Times New Roman" w:hint="eastAsia"/>
          <w:i/>
          <w:szCs w:val="20"/>
          <w:lang w:val="en-US"/>
        </w:rPr>
        <w:t xml:space="preserve">For the </w:t>
      </w:r>
      <w:r>
        <w:rPr>
          <w:rFonts w:ascii="Times New Roman" w:eastAsia="微软雅黑" w:hAnsi="Times New Roman" w:cs="Times New Roman"/>
          <w:i/>
          <w:szCs w:val="20"/>
          <w:lang w:val="en-US"/>
        </w:rPr>
        <w:t>DFT based compression codebook, CSR is supported on both FD domain basis vectors and spatial beams.</w:t>
      </w:r>
    </w:p>
    <w:p w:rsidR="00645458" w:rsidRDefault="00F16830">
      <w:pPr>
        <w:snapToGrid w:val="0"/>
        <w:spacing w:before="120" w:afterLines="50" w:after="120" w:line="240" w:lineRule="auto"/>
        <w:jc w:val="both"/>
        <w:rPr>
          <w:rFonts w:eastAsia="微软雅黑"/>
          <w:i/>
          <w:sz w:val="20"/>
          <w:szCs w:val="20"/>
        </w:rPr>
      </w:pPr>
      <w:r>
        <w:rPr>
          <w:rFonts w:eastAsia="微软雅黑"/>
          <w:b/>
          <w:i/>
          <w:sz w:val="20"/>
          <w:szCs w:val="20"/>
        </w:rPr>
        <w:t>Proposal 8:</w:t>
      </w:r>
      <w:r>
        <w:rPr>
          <w:rFonts w:eastAsia="微软雅黑"/>
          <w:i/>
          <w:sz w:val="20"/>
          <w:szCs w:val="20"/>
        </w:rPr>
        <w:t xml:space="preserve"> If Type II is extended to higher rank, the CSI omission rule for partial sub-bands should also be extended.</w:t>
      </w:r>
    </w:p>
    <w:p w:rsidR="00645458" w:rsidRDefault="00F1683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9: </w:t>
      </w:r>
      <w:r>
        <w:rPr>
          <w:rFonts w:eastAsia="微软雅黑"/>
          <w:i/>
          <w:sz w:val="20"/>
          <w:szCs w:val="20"/>
        </w:rPr>
        <w:t>Extend Type II to rank 4 with RI restriction.</w:t>
      </w:r>
      <w:r>
        <w:rPr>
          <w:rFonts w:eastAsia="微软雅黑"/>
          <w:b/>
          <w:i/>
          <w:sz w:val="20"/>
          <w:szCs w:val="20"/>
        </w:rPr>
        <w:t xml:space="preserve"> </w:t>
      </w:r>
    </w:p>
    <w:p w:rsidR="00645458" w:rsidRDefault="00F16830">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rsidR="00645458" w:rsidRDefault="00F16830">
      <w:pPr>
        <w:pStyle w:val="NoSpacing1"/>
        <w:snapToGrid w:val="0"/>
        <w:rPr>
          <w:sz w:val="20"/>
          <w:szCs w:val="20"/>
          <w:lang w:val="en-GB"/>
        </w:rPr>
      </w:pPr>
      <w:r>
        <w:rPr>
          <w:sz w:val="20"/>
          <w:szCs w:val="20"/>
        </w:rPr>
        <w:t xml:space="preserve">[1] RP-181453, </w:t>
      </w:r>
      <w:r>
        <w:rPr>
          <w:rFonts w:hint="eastAsia"/>
          <w:sz w:val="20"/>
          <w:szCs w:val="20"/>
          <w:lang w:val="en-GB"/>
        </w:rPr>
        <w:t>WI Proposal on NR MIMO Enhancements</w:t>
      </w:r>
      <w:r>
        <w:rPr>
          <w:sz w:val="20"/>
          <w:szCs w:val="20"/>
          <w:lang w:val="en-GB"/>
        </w:rPr>
        <w:t>, Samsung</w:t>
      </w:r>
    </w:p>
    <w:p w:rsidR="00645458" w:rsidRDefault="00F16830">
      <w:pPr>
        <w:pStyle w:val="NoSpacing1"/>
        <w:snapToGrid w:val="0"/>
        <w:rPr>
          <w:bCs/>
          <w:sz w:val="20"/>
          <w:szCs w:val="20"/>
        </w:rPr>
      </w:pPr>
      <w:r>
        <w:rPr>
          <w:bCs/>
          <w:sz w:val="20"/>
          <w:szCs w:val="20"/>
        </w:rPr>
        <w:t>[2] Chairman’s notes, RAN1#95</w:t>
      </w:r>
    </w:p>
    <w:p w:rsidR="00645458" w:rsidRDefault="00F16830">
      <w:pPr>
        <w:pStyle w:val="1"/>
        <w:tabs>
          <w:tab w:val="clear" w:pos="432"/>
        </w:tabs>
        <w:snapToGrid w:val="0"/>
        <w:spacing w:beforeLines="50" w:before="120" w:afterLines="50" w:after="120"/>
        <w:ind w:left="431" w:hanging="431"/>
        <w:rPr>
          <w:sz w:val="28"/>
          <w:lang w:val="en-US"/>
        </w:rPr>
      </w:pPr>
      <w:r>
        <w:rPr>
          <w:rFonts w:hint="eastAsia"/>
          <w:sz w:val="28"/>
          <w:lang w:val="en-US"/>
        </w:rPr>
        <w:lastRenderedPageBreak/>
        <w:t>Appendix</w:t>
      </w:r>
    </w:p>
    <w:p w:rsidR="00645458" w:rsidRDefault="00F16830">
      <w:pPr>
        <w:snapToGrid w:val="0"/>
        <w:spacing w:before="120" w:afterLines="50" w:after="120" w:line="240" w:lineRule="auto"/>
        <w:jc w:val="center"/>
        <w:rPr>
          <w:rFonts w:eastAsia="微软雅黑"/>
          <w:sz w:val="20"/>
          <w:szCs w:val="20"/>
        </w:rPr>
      </w:pPr>
      <w:r>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45458">
        <w:trPr>
          <w:tblCellSpacing w:w="0" w:type="dxa"/>
          <w:jc w:val="center"/>
        </w:trPr>
        <w:tc>
          <w:tcPr>
            <w:tcW w:w="7605" w:type="dxa"/>
            <w:gridSpan w:val="2"/>
            <w:shd w:val="clear" w:color="auto" w:fill="C5E0B3" w:themeFill="accent6" w:themeFillTint="66"/>
            <w:vAlign w:val="center"/>
          </w:tcPr>
          <w:p w:rsidR="00645458" w:rsidRDefault="00F16830">
            <w:pPr>
              <w:pStyle w:val="10"/>
              <w:rPr>
                <w:rFonts w:eastAsia="Malgun Gothic"/>
                <w:sz w:val="20"/>
                <w:szCs w:val="20"/>
                <w:lang w:val="sv-SE"/>
              </w:rPr>
            </w:pPr>
            <w:r>
              <w:rPr>
                <w:rFonts w:eastAsia="Malgun Gothic"/>
                <w:sz w:val="20"/>
                <w:szCs w:val="20"/>
                <w:lang w:val="sv-SE"/>
              </w:rPr>
              <w:t>System level simulation parameters</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Scenarios</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TR38.901: </w:t>
            </w:r>
            <w:r>
              <w:rPr>
                <w:rFonts w:eastAsia="Malgun Gothic"/>
                <w:sz w:val="20"/>
                <w:szCs w:val="20"/>
                <w:lang w:val="sv-SE"/>
              </w:rPr>
              <w:t>3D-Uma</w:t>
            </w:r>
            <w:r>
              <w:rPr>
                <w:rFonts w:asciiTheme="minorEastAsia" w:eastAsiaTheme="minorEastAsia" w:hAnsiTheme="minorEastAsia" w:hint="eastAsia"/>
                <w:sz w:val="20"/>
                <w:szCs w:val="20"/>
                <w:lang w:val="sv-SE"/>
              </w:rPr>
              <w:t xml:space="preserve"> </w:t>
            </w:r>
            <w:r>
              <w:rPr>
                <w:rFonts w:eastAsia="Malgun Gothic"/>
                <w:sz w:val="20"/>
                <w:szCs w:val="20"/>
                <w:lang w:val="sv-SE"/>
              </w:rPr>
              <w:t>(200m) for overhead reduction; 3D-Umi for higher rank support</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lang w:eastAsia="ja-JP"/>
              </w:rPr>
              <w:t xml:space="preserve">Carrier frequency </w:t>
            </w:r>
          </w:p>
        </w:tc>
        <w:tc>
          <w:tcPr>
            <w:tcW w:w="4836" w:type="dxa"/>
            <w:vAlign w:val="center"/>
          </w:tcPr>
          <w:p w:rsidR="00645458" w:rsidRDefault="00F16830">
            <w:pPr>
              <w:pStyle w:val="10"/>
              <w:rPr>
                <w:rFonts w:eastAsia="Malgun Gothic"/>
                <w:sz w:val="20"/>
                <w:szCs w:val="20"/>
              </w:rPr>
            </w:pPr>
            <w:r>
              <w:rPr>
                <w:rFonts w:eastAsia="Malgun Gothic"/>
                <w:sz w:val="20"/>
                <w:szCs w:val="20"/>
              </w:rPr>
              <w:t>4 GHz</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lang w:eastAsia="ja-JP"/>
              </w:rPr>
              <w:t>Simulation bandwidth</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DL 10 MHz unless specified </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SCS</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15KHz unless specified </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Antenna Spacing</w:t>
            </w:r>
          </w:p>
        </w:tc>
        <w:tc>
          <w:tcPr>
            <w:tcW w:w="4836" w:type="dxa"/>
            <w:vAlign w:val="center"/>
          </w:tcPr>
          <w:p w:rsidR="00645458" w:rsidRDefault="00F16830">
            <w:pPr>
              <w:pStyle w:val="10"/>
              <w:rPr>
                <w:rFonts w:eastAsia="Malgun Gothic"/>
                <w:sz w:val="20"/>
                <w:szCs w:val="20"/>
              </w:rPr>
            </w:pPr>
            <w:r>
              <w:rPr>
                <w:rFonts w:eastAsia="Malgun Gothic"/>
                <w:sz w:val="20"/>
                <w:szCs w:val="20"/>
                <w:lang w:val="el-GR"/>
              </w:rPr>
              <w:t>(dV,dH)=(</w:t>
            </w:r>
            <w:r>
              <w:rPr>
                <w:rFonts w:eastAsia="Malgun Gothic"/>
                <w:sz w:val="20"/>
                <w:szCs w:val="20"/>
                <w:lang w:eastAsia="ko-KR"/>
              </w:rPr>
              <w:t xml:space="preserve"> 0.</w:t>
            </w:r>
            <w:r>
              <w:rPr>
                <w:rFonts w:eastAsia="Malgun Gothic"/>
                <w:sz w:val="20"/>
                <w:szCs w:val="20"/>
                <w:lang w:eastAsia="ja-JP"/>
              </w:rPr>
              <w:t>8</w:t>
            </w:r>
            <w:r>
              <w:rPr>
                <w:rFonts w:eastAsia="Malgun Gothic"/>
                <w:sz w:val="20"/>
                <w:szCs w:val="20"/>
              </w:rPr>
              <w:t>λ</w:t>
            </w:r>
            <w:r>
              <w:rPr>
                <w:rFonts w:eastAsia="Malgun Gothic"/>
                <w:sz w:val="20"/>
                <w:szCs w:val="20"/>
                <w:lang w:eastAsia="ko-KR"/>
              </w:rPr>
              <w:t>, 0.</w:t>
            </w:r>
            <w:r>
              <w:rPr>
                <w:rFonts w:eastAsia="Malgun Gothic"/>
                <w:sz w:val="20"/>
                <w:szCs w:val="20"/>
              </w:rPr>
              <w:t>5λ</w:t>
            </w:r>
            <w:r>
              <w:rPr>
                <w:rFonts w:eastAsia="Malgun Gothic"/>
                <w:sz w:val="20"/>
                <w:szCs w:val="20"/>
                <w:lang w:val="el-GR"/>
              </w:rPr>
              <w:t>)</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 xml:space="preserve">NB </w:t>
            </w:r>
            <w:r>
              <w:rPr>
                <w:rFonts w:eastAsia="Malgun Gothic"/>
                <w:sz w:val="20"/>
                <w:szCs w:val="20"/>
                <w:lang w:eastAsia="ja-JP"/>
              </w:rPr>
              <w:t>antenna configurations</w:t>
            </w:r>
          </w:p>
        </w:tc>
        <w:tc>
          <w:tcPr>
            <w:tcW w:w="4836" w:type="dxa"/>
            <w:vAlign w:val="center"/>
          </w:tcPr>
          <w:p w:rsidR="00645458" w:rsidRDefault="00F16830">
            <w:pPr>
              <w:pStyle w:val="10"/>
              <w:rPr>
                <w:rFonts w:eastAsia="Malgun Gothic"/>
                <w:sz w:val="20"/>
                <w:szCs w:val="20"/>
              </w:rPr>
            </w:pPr>
            <w:r>
              <w:rPr>
                <w:rFonts w:eastAsia="Malgun Gothic"/>
                <w:sz w:val="20"/>
                <w:szCs w:val="20"/>
              </w:rPr>
              <w:t>For 32 ports:</w:t>
            </w:r>
          </w:p>
          <w:p w:rsidR="00645458" w:rsidRDefault="00F16830">
            <w:pPr>
              <w:pStyle w:val="10"/>
              <w:rPr>
                <w:rFonts w:eastAsia="Malgun Gothic"/>
                <w:sz w:val="20"/>
                <w:szCs w:val="20"/>
              </w:rPr>
            </w:pPr>
            <w:r>
              <w:rPr>
                <w:rFonts w:eastAsia="Malgun Gothic"/>
                <w:sz w:val="20"/>
                <w:szCs w:val="20"/>
              </w:rPr>
              <w:t>(MTXRU, NTXRU, P) = (2, 8, 2)</w:t>
            </w:r>
          </w:p>
          <w:p w:rsidR="00645458" w:rsidRDefault="00F16830">
            <w:pPr>
              <w:pStyle w:val="10"/>
              <w:rPr>
                <w:rFonts w:eastAsia="Malgun Gothic"/>
                <w:sz w:val="20"/>
                <w:szCs w:val="20"/>
              </w:rPr>
            </w:pPr>
            <w:r>
              <w:rPr>
                <w:rFonts w:eastAsia="Malgun Gothic"/>
                <w:sz w:val="20"/>
                <w:szCs w:val="20"/>
              </w:rPr>
              <w:t>(</w:t>
            </w:r>
            <w:r>
              <w:rPr>
                <w:rFonts w:eastAsia="Malgun Gothic"/>
                <w:sz w:val="20"/>
                <w:szCs w:val="20"/>
                <w:lang w:eastAsia="ja-JP"/>
              </w:rPr>
              <w:t>M,N,P,Mg,Ng</w:t>
            </w:r>
            <w:r>
              <w:rPr>
                <w:rFonts w:eastAsia="Malgun Gothic"/>
                <w:sz w:val="20"/>
                <w:szCs w:val="20"/>
              </w:rPr>
              <w:t>)= (8,8,2,1,1)</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 xml:space="preserve">UE </w:t>
            </w:r>
            <w:r>
              <w:rPr>
                <w:rFonts w:eastAsia="Malgun Gothic"/>
                <w:sz w:val="20"/>
                <w:szCs w:val="20"/>
                <w:lang w:eastAsia="ja-JP"/>
              </w:rPr>
              <w:t>antenna configurations</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 </w:t>
            </w:r>
            <w:r>
              <w:rPr>
                <w:rFonts w:eastAsia="Malgun Gothic"/>
                <w:sz w:val="20"/>
                <w:szCs w:val="20"/>
                <w:lang w:eastAsia="ja-JP"/>
              </w:rPr>
              <w:t>Isotropic antenna gain pattern</w:t>
            </w:r>
            <w:r>
              <w:rPr>
                <w:rFonts w:eastAsia="Malgun Gothic"/>
                <w:sz w:val="20"/>
                <w:szCs w:val="20"/>
              </w:rPr>
              <w:t>:</w:t>
            </w:r>
          </w:p>
          <w:p w:rsidR="00645458" w:rsidRDefault="00F16830">
            <w:pPr>
              <w:pStyle w:val="10"/>
              <w:rPr>
                <w:rFonts w:eastAsia="Malgun Gothic"/>
                <w:sz w:val="20"/>
                <w:szCs w:val="20"/>
              </w:rPr>
            </w:pPr>
            <w:r>
              <w:rPr>
                <w:rFonts w:eastAsia="Malgun Gothic"/>
                <w:sz w:val="20"/>
                <w:szCs w:val="20"/>
              </w:rPr>
              <w:t>(M, N, P) = (1, 1, 2) or  (1, 2, 2)</w:t>
            </w:r>
          </w:p>
        </w:tc>
      </w:tr>
      <w:tr w:rsidR="00645458">
        <w:trPr>
          <w:tblCellSpacing w:w="0" w:type="dxa"/>
          <w:jc w:val="center"/>
        </w:trPr>
        <w:tc>
          <w:tcPr>
            <w:tcW w:w="2769" w:type="dxa"/>
            <w:vAlign w:val="center"/>
          </w:tcPr>
          <w:p w:rsidR="00645458" w:rsidRDefault="00F16830">
            <w:pPr>
              <w:pStyle w:val="10"/>
              <w:rPr>
                <w:sz w:val="20"/>
                <w:szCs w:val="20"/>
              </w:rPr>
            </w:pPr>
            <w:r>
              <w:rPr>
                <w:sz w:val="20"/>
                <w:szCs w:val="20"/>
              </w:rPr>
              <w:t>Transmission scheme</w:t>
            </w:r>
          </w:p>
        </w:tc>
        <w:tc>
          <w:tcPr>
            <w:tcW w:w="4836" w:type="dxa"/>
            <w:vAlign w:val="center"/>
          </w:tcPr>
          <w:p w:rsidR="00645458" w:rsidRDefault="00F16830">
            <w:pPr>
              <w:pStyle w:val="10"/>
              <w:rPr>
                <w:sz w:val="20"/>
                <w:szCs w:val="20"/>
              </w:rPr>
            </w:pPr>
            <w:r>
              <w:rPr>
                <w:sz w:val="20"/>
                <w:szCs w:val="20"/>
              </w:rPr>
              <w:t>SU/MU-MIMO adaption with max rank 2/4, total 4/8 layers</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Traffic model</w:t>
            </w:r>
          </w:p>
        </w:tc>
        <w:tc>
          <w:tcPr>
            <w:tcW w:w="4836" w:type="dxa"/>
            <w:vAlign w:val="center"/>
          </w:tcPr>
          <w:p w:rsidR="00645458" w:rsidRDefault="00F16830">
            <w:pPr>
              <w:pStyle w:val="10"/>
              <w:rPr>
                <w:rFonts w:eastAsia="Malgun Gothic"/>
                <w:sz w:val="20"/>
                <w:szCs w:val="20"/>
                <w:lang w:val="sv-SE"/>
              </w:rPr>
            </w:pPr>
            <w:r>
              <w:rPr>
                <w:rFonts w:eastAsia="Malgun Gothic"/>
                <w:sz w:val="20"/>
                <w:szCs w:val="20"/>
                <w:lang w:val="sv-SE"/>
              </w:rPr>
              <w:t xml:space="preserve">FTP </w:t>
            </w:r>
            <w:r>
              <w:rPr>
                <w:rFonts w:eastAsia="Malgun Gothic"/>
                <w:sz w:val="20"/>
                <w:szCs w:val="20"/>
              </w:rPr>
              <w:t>3</w:t>
            </w:r>
            <w:r>
              <w:rPr>
                <w:rFonts w:eastAsia="Malgun Gothic"/>
                <w:sz w:val="20"/>
                <w:szCs w:val="20"/>
                <w:lang w:val="sv-SE"/>
              </w:rPr>
              <w:t xml:space="preserve"> with packet size 0.5M byte</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CSI-RS</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Period is 5 ms and overhead is accounted.  </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Delay for scheduling and AMC</w:t>
            </w:r>
          </w:p>
        </w:tc>
        <w:tc>
          <w:tcPr>
            <w:tcW w:w="4836" w:type="dxa"/>
            <w:vAlign w:val="center"/>
          </w:tcPr>
          <w:p w:rsidR="00645458" w:rsidRDefault="00F16830">
            <w:pPr>
              <w:pStyle w:val="10"/>
              <w:rPr>
                <w:rFonts w:eastAsia="Malgun Gothic"/>
                <w:sz w:val="20"/>
                <w:szCs w:val="20"/>
                <w:lang w:eastAsia="zh-TW"/>
              </w:rPr>
            </w:pPr>
            <w:r>
              <w:rPr>
                <w:rFonts w:eastAsia="Malgun Gothic"/>
                <w:sz w:val="20"/>
                <w:szCs w:val="20"/>
              </w:rPr>
              <w:t>4ms</w:t>
            </w:r>
          </w:p>
        </w:tc>
      </w:tr>
      <w:tr w:rsidR="00645458">
        <w:trPr>
          <w:tblCellSpacing w:w="0" w:type="dxa"/>
          <w:jc w:val="center"/>
        </w:trPr>
        <w:tc>
          <w:tcPr>
            <w:tcW w:w="2769" w:type="dxa"/>
            <w:vAlign w:val="center"/>
          </w:tcPr>
          <w:p w:rsidR="00645458" w:rsidRDefault="00F16830">
            <w:pPr>
              <w:pStyle w:val="10"/>
              <w:rPr>
                <w:rFonts w:eastAsiaTheme="minorEastAsia"/>
                <w:sz w:val="20"/>
                <w:szCs w:val="20"/>
              </w:rPr>
            </w:pPr>
            <w:r>
              <w:rPr>
                <w:rFonts w:eastAsiaTheme="minorEastAsia" w:hint="eastAsia"/>
                <w:sz w:val="20"/>
                <w:szCs w:val="20"/>
              </w:rPr>
              <w:t>Scheduler</w:t>
            </w:r>
          </w:p>
        </w:tc>
        <w:tc>
          <w:tcPr>
            <w:tcW w:w="4836" w:type="dxa"/>
            <w:vAlign w:val="center"/>
          </w:tcPr>
          <w:p w:rsidR="00645458" w:rsidRDefault="00F16830">
            <w:pPr>
              <w:pStyle w:val="10"/>
              <w:rPr>
                <w:rFonts w:eastAsiaTheme="minorEastAsia"/>
                <w:sz w:val="20"/>
                <w:szCs w:val="20"/>
              </w:rPr>
            </w:pPr>
            <w:r>
              <w:rPr>
                <w:rFonts w:eastAsiaTheme="minorEastAsia" w:hint="eastAsia"/>
                <w:sz w:val="20"/>
                <w:szCs w:val="20"/>
              </w:rPr>
              <w:t>PF</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Receiver</w:t>
            </w:r>
          </w:p>
        </w:tc>
        <w:tc>
          <w:tcPr>
            <w:tcW w:w="4836" w:type="dxa"/>
            <w:vAlign w:val="center"/>
          </w:tcPr>
          <w:p w:rsidR="00645458" w:rsidRDefault="00F16830">
            <w:pPr>
              <w:pStyle w:val="10"/>
              <w:rPr>
                <w:rFonts w:eastAsia="Malgun Gothic"/>
                <w:sz w:val="20"/>
                <w:szCs w:val="20"/>
              </w:rPr>
            </w:pPr>
            <w:r>
              <w:rPr>
                <w:rFonts w:eastAsia="Malgun Gothic"/>
                <w:sz w:val="20"/>
                <w:szCs w:val="20"/>
              </w:rPr>
              <w:t>MMSE-IRC</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HARQ Scheme</w:t>
            </w:r>
          </w:p>
        </w:tc>
        <w:tc>
          <w:tcPr>
            <w:tcW w:w="4836" w:type="dxa"/>
            <w:vAlign w:val="center"/>
          </w:tcPr>
          <w:p w:rsidR="00645458" w:rsidRDefault="00F16830">
            <w:pPr>
              <w:pStyle w:val="10"/>
              <w:rPr>
                <w:rFonts w:eastAsia="Malgun Gothic"/>
                <w:sz w:val="20"/>
                <w:szCs w:val="20"/>
              </w:rPr>
            </w:pPr>
            <w:r>
              <w:rPr>
                <w:rFonts w:eastAsia="Malgun Gothic"/>
                <w:sz w:val="20"/>
                <w:szCs w:val="20"/>
              </w:rPr>
              <w:t>Chase Combining</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Feedback Assumption</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Non-ideal modeling of channel estimation, with error modeling </w:t>
            </w:r>
            <w:r>
              <w:rPr>
                <w:position w:val="-14"/>
                <w:szCs w:val="20"/>
              </w:rPr>
              <w:object w:dxaOrig="1220" w:dyaOrig="320">
                <v:shape id="_x0000_i1028" type="#_x0000_t75" style="width:61.15pt;height:16.3pt" o:ole="">
                  <v:imagedata r:id="rId26" o:title=""/>
                </v:shape>
                <o:OLEObject Type="Embed" ProgID="Equation.DSMT4" ShapeID="_x0000_i1028" DrawAspect="Content" ObjectID="_1608802420" r:id="rId27"/>
              </w:object>
            </w:r>
            <w:r>
              <w:rPr>
                <w:rFonts w:eastAsia="Malgun Gothic"/>
                <w:sz w:val="20"/>
                <w:szCs w:val="20"/>
              </w:rPr>
              <w:t>is used.</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 xml:space="preserve">Handover margin </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3dB </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rFonts w:eastAsia="Malgun Gothic"/>
                <w:sz w:val="20"/>
                <w:szCs w:val="20"/>
              </w:rPr>
              <w:t>DL Overhead  calculation</w:t>
            </w:r>
          </w:p>
        </w:tc>
        <w:tc>
          <w:tcPr>
            <w:tcW w:w="4836" w:type="dxa"/>
            <w:vAlign w:val="center"/>
          </w:tcPr>
          <w:p w:rsidR="00645458" w:rsidRDefault="00F16830">
            <w:pPr>
              <w:pStyle w:val="10"/>
              <w:rPr>
                <w:rFonts w:eastAsia="Malgun Gothic"/>
                <w:sz w:val="20"/>
                <w:szCs w:val="20"/>
              </w:rPr>
            </w:pPr>
            <w:r>
              <w:rPr>
                <w:rFonts w:eastAsia="Malgun Gothic"/>
                <w:sz w:val="20"/>
                <w:szCs w:val="20"/>
              </w:rPr>
              <w:t xml:space="preserve"> 2 OFDM symbols for PDCCH, 24 RE/PRB for DMRS</w:t>
            </w:r>
          </w:p>
        </w:tc>
      </w:tr>
      <w:tr w:rsidR="00645458">
        <w:trPr>
          <w:tblCellSpacing w:w="0" w:type="dxa"/>
          <w:jc w:val="center"/>
        </w:trPr>
        <w:tc>
          <w:tcPr>
            <w:tcW w:w="2769" w:type="dxa"/>
            <w:vAlign w:val="center"/>
          </w:tcPr>
          <w:p w:rsidR="00645458" w:rsidRDefault="00F16830">
            <w:pPr>
              <w:pStyle w:val="10"/>
              <w:rPr>
                <w:rFonts w:eastAsia="Malgun Gothic"/>
                <w:sz w:val="20"/>
                <w:szCs w:val="20"/>
              </w:rPr>
            </w:pPr>
            <w:r>
              <w:rPr>
                <w:sz w:val="20"/>
                <w:szCs w:val="20"/>
              </w:rPr>
              <w:t>Metric</w:t>
            </w:r>
          </w:p>
        </w:tc>
        <w:tc>
          <w:tcPr>
            <w:tcW w:w="4836" w:type="dxa"/>
            <w:vAlign w:val="center"/>
          </w:tcPr>
          <w:p w:rsidR="00645458" w:rsidRDefault="00F16830">
            <w:pPr>
              <w:pStyle w:val="10"/>
              <w:rPr>
                <w:rFonts w:eastAsia="微软雅黑"/>
                <w:sz w:val="20"/>
                <w:szCs w:val="20"/>
              </w:rPr>
            </w:pPr>
            <w:r>
              <w:rPr>
                <w:rFonts w:eastAsia="Malgun Gothic"/>
                <w:sz w:val="20"/>
                <w:szCs w:val="20"/>
              </w:rPr>
              <w:t xml:space="preserve"> Average and 5% tail UE </w:t>
            </w:r>
            <w:r>
              <w:rPr>
                <w:rFonts w:eastAsia="微软雅黑"/>
                <w:sz w:val="20"/>
                <w:szCs w:val="20"/>
              </w:rPr>
              <w:t xml:space="preserve"> throughput; Per-rank PMI overhead; </w:t>
            </w:r>
          </w:p>
        </w:tc>
      </w:tr>
      <w:tr w:rsidR="00645458">
        <w:trPr>
          <w:tblCellSpacing w:w="0" w:type="dxa"/>
          <w:jc w:val="center"/>
        </w:trPr>
        <w:tc>
          <w:tcPr>
            <w:tcW w:w="2769" w:type="dxa"/>
            <w:vAlign w:val="center"/>
          </w:tcPr>
          <w:p w:rsidR="00645458" w:rsidRDefault="00F16830">
            <w:pPr>
              <w:pStyle w:val="10"/>
              <w:rPr>
                <w:sz w:val="20"/>
                <w:szCs w:val="20"/>
              </w:rPr>
            </w:pPr>
            <w:r>
              <w:rPr>
                <w:rFonts w:hint="eastAsia"/>
                <w:sz w:val="20"/>
                <w:szCs w:val="20"/>
              </w:rPr>
              <w:t xml:space="preserve">Oversampling of the </w:t>
            </w:r>
            <w:r>
              <w:rPr>
                <w:sz w:val="20"/>
                <w:szCs w:val="20"/>
              </w:rPr>
              <w:t>FD basis</w:t>
            </w:r>
          </w:p>
        </w:tc>
        <w:tc>
          <w:tcPr>
            <w:tcW w:w="4836" w:type="dxa"/>
            <w:vAlign w:val="center"/>
          </w:tcPr>
          <w:p w:rsidR="00645458" w:rsidRDefault="00F16830">
            <w:pPr>
              <w:pStyle w:val="10"/>
              <w:rPr>
                <w:rFonts w:eastAsia="Malgun Gothic"/>
                <w:sz w:val="20"/>
                <w:szCs w:val="20"/>
              </w:rPr>
            </w:pPr>
            <w:r>
              <w:rPr>
                <w:rFonts w:eastAsia="Malgun Gothic"/>
                <w:sz w:val="20"/>
                <w:szCs w:val="20"/>
              </w:rPr>
              <w:t>O = 4</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DBA" w:rsidRDefault="002F0DBA" w:rsidP="00256FEC">
      <w:pPr>
        <w:spacing w:after="0" w:line="240" w:lineRule="auto"/>
      </w:pPr>
      <w:r>
        <w:separator/>
      </w:r>
    </w:p>
  </w:endnote>
  <w:endnote w:type="continuationSeparator" w:id="0">
    <w:p w:rsidR="002F0DBA" w:rsidRDefault="002F0DBA"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DBA" w:rsidRDefault="002F0DBA" w:rsidP="00256FEC">
      <w:pPr>
        <w:spacing w:after="0" w:line="240" w:lineRule="auto"/>
      </w:pPr>
      <w:r>
        <w:separator/>
      </w:r>
    </w:p>
  </w:footnote>
  <w:footnote w:type="continuationSeparator" w:id="0">
    <w:p w:rsidR="002F0DBA" w:rsidRDefault="002F0DBA"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1"/>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02F"/>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28"/>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5FE"/>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3E17"/>
    <w:rsid w:val="0010402E"/>
    <w:rsid w:val="00104247"/>
    <w:rsid w:val="00104671"/>
    <w:rsid w:val="001046A2"/>
    <w:rsid w:val="00104768"/>
    <w:rsid w:val="001048B1"/>
    <w:rsid w:val="00104C0D"/>
    <w:rsid w:val="00104D0E"/>
    <w:rsid w:val="00105A7D"/>
    <w:rsid w:val="00105D9D"/>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409D"/>
    <w:rsid w:val="00114C04"/>
    <w:rsid w:val="00114D59"/>
    <w:rsid w:val="001154E0"/>
    <w:rsid w:val="001157F5"/>
    <w:rsid w:val="0011584B"/>
    <w:rsid w:val="00116B77"/>
    <w:rsid w:val="00117A4E"/>
    <w:rsid w:val="0012093B"/>
    <w:rsid w:val="00120B32"/>
    <w:rsid w:val="00120BE8"/>
    <w:rsid w:val="00121167"/>
    <w:rsid w:val="001218EA"/>
    <w:rsid w:val="00121AF1"/>
    <w:rsid w:val="0012263D"/>
    <w:rsid w:val="00122904"/>
    <w:rsid w:val="00122EC0"/>
    <w:rsid w:val="00123244"/>
    <w:rsid w:val="00123496"/>
    <w:rsid w:val="0012379D"/>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10C"/>
    <w:rsid w:val="0014320C"/>
    <w:rsid w:val="00143300"/>
    <w:rsid w:val="0014343D"/>
    <w:rsid w:val="001436C3"/>
    <w:rsid w:val="0014425D"/>
    <w:rsid w:val="00145240"/>
    <w:rsid w:val="0014532F"/>
    <w:rsid w:val="00145E21"/>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8A6"/>
    <w:rsid w:val="001522BF"/>
    <w:rsid w:val="00152345"/>
    <w:rsid w:val="00152731"/>
    <w:rsid w:val="001538F2"/>
    <w:rsid w:val="0015391E"/>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7E2"/>
    <w:rsid w:val="0015796A"/>
    <w:rsid w:val="00160518"/>
    <w:rsid w:val="0016078A"/>
    <w:rsid w:val="00160CAD"/>
    <w:rsid w:val="00160F87"/>
    <w:rsid w:val="001617D4"/>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0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956"/>
    <w:rsid w:val="00191B0E"/>
    <w:rsid w:val="001923B8"/>
    <w:rsid w:val="001923FD"/>
    <w:rsid w:val="0019290C"/>
    <w:rsid w:val="00192C67"/>
    <w:rsid w:val="00192CDE"/>
    <w:rsid w:val="00192DF3"/>
    <w:rsid w:val="001933D2"/>
    <w:rsid w:val="00193FB6"/>
    <w:rsid w:val="00194514"/>
    <w:rsid w:val="00194BE0"/>
    <w:rsid w:val="001952FB"/>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1C4"/>
    <w:rsid w:val="001A5541"/>
    <w:rsid w:val="001A57A5"/>
    <w:rsid w:val="001A5BA3"/>
    <w:rsid w:val="001A6811"/>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C0316"/>
    <w:rsid w:val="001C0776"/>
    <w:rsid w:val="001C127E"/>
    <w:rsid w:val="001C128D"/>
    <w:rsid w:val="001C14CC"/>
    <w:rsid w:val="001C16C8"/>
    <w:rsid w:val="001C172B"/>
    <w:rsid w:val="001C1ED7"/>
    <w:rsid w:val="001C22A8"/>
    <w:rsid w:val="001C2ECF"/>
    <w:rsid w:val="001C308C"/>
    <w:rsid w:val="001C3942"/>
    <w:rsid w:val="001C3A1C"/>
    <w:rsid w:val="001C3E43"/>
    <w:rsid w:val="001C3E4B"/>
    <w:rsid w:val="001C41C5"/>
    <w:rsid w:val="001C4275"/>
    <w:rsid w:val="001C469A"/>
    <w:rsid w:val="001C4742"/>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A2B"/>
    <w:rsid w:val="001F5B92"/>
    <w:rsid w:val="001F5E6F"/>
    <w:rsid w:val="001F5EB4"/>
    <w:rsid w:val="001F61CE"/>
    <w:rsid w:val="001F647E"/>
    <w:rsid w:val="001F651D"/>
    <w:rsid w:val="001F65A2"/>
    <w:rsid w:val="001F6824"/>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8EF"/>
    <w:rsid w:val="00282999"/>
    <w:rsid w:val="00282AF5"/>
    <w:rsid w:val="0028387F"/>
    <w:rsid w:val="002845C3"/>
    <w:rsid w:val="00284A55"/>
    <w:rsid w:val="00284B9F"/>
    <w:rsid w:val="00285621"/>
    <w:rsid w:val="00285C7A"/>
    <w:rsid w:val="002860A4"/>
    <w:rsid w:val="002872DF"/>
    <w:rsid w:val="00287644"/>
    <w:rsid w:val="002876BF"/>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CC1"/>
    <w:rsid w:val="002A7514"/>
    <w:rsid w:val="002A7680"/>
    <w:rsid w:val="002A7C13"/>
    <w:rsid w:val="002A7E40"/>
    <w:rsid w:val="002B033B"/>
    <w:rsid w:val="002B0BF5"/>
    <w:rsid w:val="002B0F5A"/>
    <w:rsid w:val="002B1695"/>
    <w:rsid w:val="002B16BF"/>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941"/>
    <w:rsid w:val="002C0962"/>
    <w:rsid w:val="002C0990"/>
    <w:rsid w:val="002C102E"/>
    <w:rsid w:val="002C10ED"/>
    <w:rsid w:val="002C1138"/>
    <w:rsid w:val="002C15B4"/>
    <w:rsid w:val="002C1C6B"/>
    <w:rsid w:val="002C1E7D"/>
    <w:rsid w:val="002C2041"/>
    <w:rsid w:val="002C278B"/>
    <w:rsid w:val="002C2EBE"/>
    <w:rsid w:val="002C329C"/>
    <w:rsid w:val="002C3B54"/>
    <w:rsid w:val="002C434C"/>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3B1"/>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DC"/>
    <w:rsid w:val="002E547F"/>
    <w:rsid w:val="002E5CF5"/>
    <w:rsid w:val="002E62E1"/>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A7B"/>
    <w:rsid w:val="00333A42"/>
    <w:rsid w:val="0033428D"/>
    <w:rsid w:val="003345F3"/>
    <w:rsid w:val="00334BC5"/>
    <w:rsid w:val="00334CE2"/>
    <w:rsid w:val="00334EC0"/>
    <w:rsid w:val="003352A4"/>
    <w:rsid w:val="0033533A"/>
    <w:rsid w:val="00335ABE"/>
    <w:rsid w:val="00335B4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6FAC"/>
    <w:rsid w:val="00377378"/>
    <w:rsid w:val="00377EB0"/>
    <w:rsid w:val="00377FA2"/>
    <w:rsid w:val="00380389"/>
    <w:rsid w:val="00380856"/>
    <w:rsid w:val="00381138"/>
    <w:rsid w:val="0038131E"/>
    <w:rsid w:val="00381A3C"/>
    <w:rsid w:val="00381AE7"/>
    <w:rsid w:val="00381D65"/>
    <w:rsid w:val="00382284"/>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C29"/>
    <w:rsid w:val="00396876"/>
    <w:rsid w:val="003968EC"/>
    <w:rsid w:val="00396CDF"/>
    <w:rsid w:val="003972ED"/>
    <w:rsid w:val="003974C0"/>
    <w:rsid w:val="00397804"/>
    <w:rsid w:val="003A012F"/>
    <w:rsid w:val="003A0DB2"/>
    <w:rsid w:val="003A1BA6"/>
    <w:rsid w:val="003A1BCE"/>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E39"/>
    <w:rsid w:val="003B46E0"/>
    <w:rsid w:val="003B4856"/>
    <w:rsid w:val="003B4A18"/>
    <w:rsid w:val="003B5366"/>
    <w:rsid w:val="003B5CE7"/>
    <w:rsid w:val="003B5EB8"/>
    <w:rsid w:val="003B6A26"/>
    <w:rsid w:val="003B6DD3"/>
    <w:rsid w:val="003B7245"/>
    <w:rsid w:val="003B7869"/>
    <w:rsid w:val="003B79DF"/>
    <w:rsid w:val="003B7FBF"/>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895"/>
    <w:rsid w:val="003D0FA8"/>
    <w:rsid w:val="003D1D1B"/>
    <w:rsid w:val="003D1EB1"/>
    <w:rsid w:val="003D21F8"/>
    <w:rsid w:val="003D29A5"/>
    <w:rsid w:val="003D336B"/>
    <w:rsid w:val="003D3543"/>
    <w:rsid w:val="003D3650"/>
    <w:rsid w:val="003D368D"/>
    <w:rsid w:val="003D3882"/>
    <w:rsid w:val="003D413A"/>
    <w:rsid w:val="003D428C"/>
    <w:rsid w:val="003D43C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BAF"/>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9DF"/>
    <w:rsid w:val="003F3C84"/>
    <w:rsid w:val="003F47FB"/>
    <w:rsid w:val="003F4D4E"/>
    <w:rsid w:val="003F5CCA"/>
    <w:rsid w:val="003F5DC5"/>
    <w:rsid w:val="003F62B4"/>
    <w:rsid w:val="003F65C7"/>
    <w:rsid w:val="003F6D5F"/>
    <w:rsid w:val="003F6F8E"/>
    <w:rsid w:val="003F77C9"/>
    <w:rsid w:val="003F77F7"/>
    <w:rsid w:val="003F7860"/>
    <w:rsid w:val="003F7883"/>
    <w:rsid w:val="003F7AB8"/>
    <w:rsid w:val="004005F4"/>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512"/>
    <w:rsid w:val="004066F3"/>
    <w:rsid w:val="00406D2D"/>
    <w:rsid w:val="00406F20"/>
    <w:rsid w:val="00407210"/>
    <w:rsid w:val="004078FD"/>
    <w:rsid w:val="00407969"/>
    <w:rsid w:val="00407FC2"/>
    <w:rsid w:val="004103F9"/>
    <w:rsid w:val="004107B3"/>
    <w:rsid w:val="004116B5"/>
    <w:rsid w:val="0041183D"/>
    <w:rsid w:val="00411C50"/>
    <w:rsid w:val="0041238A"/>
    <w:rsid w:val="00412562"/>
    <w:rsid w:val="004129E7"/>
    <w:rsid w:val="00413304"/>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4283"/>
    <w:rsid w:val="0044460E"/>
    <w:rsid w:val="004449F8"/>
    <w:rsid w:val="00444A06"/>
    <w:rsid w:val="004456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5F2"/>
    <w:rsid w:val="00455AFC"/>
    <w:rsid w:val="0045611C"/>
    <w:rsid w:val="00456999"/>
    <w:rsid w:val="004576A1"/>
    <w:rsid w:val="00457B9D"/>
    <w:rsid w:val="00460141"/>
    <w:rsid w:val="004604C1"/>
    <w:rsid w:val="0046059A"/>
    <w:rsid w:val="00460AD3"/>
    <w:rsid w:val="00461C54"/>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6C"/>
    <w:rsid w:val="0048668F"/>
    <w:rsid w:val="00486C8E"/>
    <w:rsid w:val="00486E1F"/>
    <w:rsid w:val="004871B4"/>
    <w:rsid w:val="0048722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51C"/>
    <w:rsid w:val="004D1853"/>
    <w:rsid w:val="004D1FBB"/>
    <w:rsid w:val="004D2262"/>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73C"/>
    <w:rsid w:val="005169BB"/>
    <w:rsid w:val="0051733D"/>
    <w:rsid w:val="0051787B"/>
    <w:rsid w:val="00517F5C"/>
    <w:rsid w:val="0052014E"/>
    <w:rsid w:val="00520CB1"/>
    <w:rsid w:val="0052138E"/>
    <w:rsid w:val="00521BC1"/>
    <w:rsid w:val="00521D36"/>
    <w:rsid w:val="00521FC4"/>
    <w:rsid w:val="005231ED"/>
    <w:rsid w:val="005237A5"/>
    <w:rsid w:val="005239A0"/>
    <w:rsid w:val="00523C20"/>
    <w:rsid w:val="00523DB4"/>
    <w:rsid w:val="00523E1B"/>
    <w:rsid w:val="005246D9"/>
    <w:rsid w:val="0052485D"/>
    <w:rsid w:val="00524CB1"/>
    <w:rsid w:val="0052539D"/>
    <w:rsid w:val="00525461"/>
    <w:rsid w:val="005255A8"/>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F58"/>
    <w:rsid w:val="005769BC"/>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8D4"/>
    <w:rsid w:val="00583DFD"/>
    <w:rsid w:val="00583F89"/>
    <w:rsid w:val="0058403F"/>
    <w:rsid w:val="005845D3"/>
    <w:rsid w:val="00584BF1"/>
    <w:rsid w:val="00585307"/>
    <w:rsid w:val="005858B1"/>
    <w:rsid w:val="0058678B"/>
    <w:rsid w:val="00586ADE"/>
    <w:rsid w:val="0058709F"/>
    <w:rsid w:val="0058756C"/>
    <w:rsid w:val="00587864"/>
    <w:rsid w:val="00587A8E"/>
    <w:rsid w:val="00587DAA"/>
    <w:rsid w:val="00587EAC"/>
    <w:rsid w:val="00590A71"/>
    <w:rsid w:val="00590E15"/>
    <w:rsid w:val="00591491"/>
    <w:rsid w:val="00591579"/>
    <w:rsid w:val="005919ED"/>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40D"/>
    <w:rsid w:val="005C55EF"/>
    <w:rsid w:val="005C5A44"/>
    <w:rsid w:val="005C5BBB"/>
    <w:rsid w:val="005C6614"/>
    <w:rsid w:val="005C6641"/>
    <w:rsid w:val="005C6AA0"/>
    <w:rsid w:val="005C6E06"/>
    <w:rsid w:val="005C7302"/>
    <w:rsid w:val="005C767C"/>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11D7"/>
    <w:rsid w:val="00611317"/>
    <w:rsid w:val="0061143B"/>
    <w:rsid w:val="006119FF"/>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327"/>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069"/>
    <w:rsid w:val="00656419"/>
    <w:rsid w:val="006564BD"/>
    <w:rsid w:val="00656916"/>
    <w:rsid w:val="00656D91"/>
    <w:rsid w:val="0065737E"/>
    <w:rsid w:val="00657569"/>
    <w:rsid w:val="00657724"/>
    <w:rsid w:val="0066084B"/>
    <w:rsid w:val="00660AAD"/>
    <w:rsid w:val="0066102B"/>
    <w:rsid w:val="0066177B"/>
    <w:rsid w:val="00661951"/>
    <w:rsid w:val="00661F4D"/>
    <w:rsid w:val="00662146"/>
    <w:rsid w:val="00662192"/>
    <w:rsid w:val="00662ADC"/>
    <w:rsid w:val="006633E3"/>
    <w:rsid w:val="00663420"/>
    <w:rsid w:val="006637BF"/>
    <w:rsid w:val="00663852"/>
    <w:rsid w:val="00664387"/>
    <w:rsid w:val="0066493B"/>
    <w:rsid w:val="0066499C"/>
    <w:rsid w:val="00664AAE"/>
    <w:rsid w:val="0066524E"/>
    <w:rsid w:val="006657FC"/>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218B"/>
    <w:rsid w:val="006724D4"/>
    <w:rsid w:val="006726C8"/>
    <w:rsid w:val="00672733"/>
    <w:rsid w:val="00672FA5"/>
    <w:rsid w:val="00673ADF"/>
    <w:rsid w:val="00673C39"/>
    <w:rsid w:val="00674D4D"/>
    <w:rsid w:val="00674F7A"/>
    <w:rsid w:val="00674FA0"/>
    <w:rsid w:val="0067504C"/>
    <w:rsid w:val="0067510C"/>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66"/>
    <w:rsid w:val="006B5BBF"/>
    <w:rsid w:val="006B66F2"/>
    <w:rsid w:val="006B790F"/>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03"/>
    <w:rsid w:val="006C559B"/>
    <w:rsid w:val="006C5B73"/>
    <w:rsid w:val="006C6B99"/>
    <w:rsid w:val="006C6DE4"/>
    <w:rsid w:val="006C73A9"/>
    <w:rsid w:val="006C7E63"/>
    <w:rsid w:val="006C7EC0"/>
    <w:rsid w:val="006D001C"/>
    <w:rsid w:val="006D07D9"/>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CB3"/>
    <w:rsid w:val="006D706C"/>
    <w:rsid w:val="006D7C53"/>
    <w:rsid w:val="006D7CED"/>
    <w:rsid w:val="006E001E"/>
    <w:rsid w:val="006E0041"/>
    <w:rsid w:val="006E0227"/>
    <w:rsid w:val="006E0497"/>
    <w:rsid w:val="006E0790"/>
    <w:rsid w:val="006E0BF7"/>
    <w:rsid w:val="006E1629"/>
    <w:rsid w:val="006E1717"/>
    <w:rsid w:val="006E1CB9"/>
    <w:rsid w:val="006E23CD"/>
    <w:rsid w:val="006E2AC1"/>
    <w:rsid w:val="006E34B7"/>
    <w:rsid w:val="006E3DEB"/>
    <w:rsid w:val="006E3E09"/>
    <w:rsid w:val="006E42F9"/>
    <w:rsid w:val="006E430D"/>
    <w:rsid w:val="006E4530"/>
    <w:rsid w:val="006E4CC3"/>
    <w:rsid w:val="006E56DB"/>
    <w:rsid w:val="006E5757"/>
    <w:rsid w:val="006E5CF9"/>
    <w:rsid w:val="006E5DF1"/>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A92"/>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95E"/>
    <w:rsid w:val="00744B89"/>
    <w:rsid w:val="00744CC9"/>
    <w:rsid w:val="00744E53"/>
    <w:rsid w:val="00744E90"/>
    <w:rsid w:val="00744EB3"/>
    <w:rsid w:val="00745153"/>
    <w:rsid w:val="0074555E"/>
    <w:rsid w:val="00745DDD"/>
    <w:rsid w:val="0074640E"/>
    <w:rsid w:val="00746502"/>
    <w:rsid w:val="007466C1"/>
    <w:rsid w:val="007466E2"/>
    <w:rsid w:val="00746737"/>
    <w:rsid w:val="007469B6"/>
    <w:rsid w:val="00746E8F"/>
    <w:rsid w:val="007471B1"/>
    <w:rsid w:val="0074724A"/>
    <w:rsid w:val="007473C5"/>
    <w:rsid w:val="00747776"/>
    <w:rsid w:val="00747FF7"/>
    <w:rsid w:val="007505F6"/>
    <w:rsid w:val="007510F0"/>
    <w:rsid w:val="0075148E"/>
    <w:rsid w:val="007518F2"/>
    <w:rsid w:val="007521C3"/>
    <w:rsid w:val="007522A6"/>
    <w:rsid w:val="00752490"/>
    <w:rsid w:val="00752901"/>
    <w:rsid w:val="0075299D"/>
    <w:rsid w:val="00752C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27"/>
    <w:rsid w:val="00782320"/>
    <w:rsid w:val="00782C2C"/>
    <w:rsid w:val="00782D41"/>
    <w:rsid w:val="007830EA"/>
    <w:rsid w:val="007833A2"/>
    <w:rsid w:val="00783451"/>
    <w:rsid w:val="0078366D"/>
    <w:rsid w:val="00783A4B"/>
    <w:rsid w:val="00783F77"/>
    <w:rsid w:val="00784138"/>
    <w:rsid w:val="00785293"/>
    <w:rsid w:val="00785F2B"/>
    <w:rsid w:val="00786289"/>
    <w:rsid w:val="007866CD"/>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95E"/>
    <w:rsid w:val="00796B5C"/>
    <w:rsid w:val="00796C15"/>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EC7"/>
    <w:rsid w:val="007B24C2"/>
    <w:rsid w:val="007B28BF"/>
    <w:rsid w:val="007B2AC5"/>
    <w:rsid w:val="007B2F65"/>
    <w:rsid w:val="007B2FCD"/>
    <w:rsid w:val="007B31A3"/>
    <w:rsid w:val="007B4168"/>
    <w:rsid w:val="007B4632"/>
    <w:rsid w:val="007B4779"/>
    <w:rsid w:val="007B528D"/>
    <w:rsid w:val="007B546F"/>
    <w:rsid w:val="007B5810"/>
    <w:rsid w:val="007B68FD"/>
    <w:rsid w:val="007B6BA6"/>
    <w:rsid w:val="007B6F00"/>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E46"/>
    <w:rsid w:val="00816132"/>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142"/>
    <w:rsid w:val="00837957"/>
    <w:rsid w:val="008379DB"/>
    <w:rsid w:val="00837AE5"/>
    <w:rsid w:val="00840CF5"/>
    <w:rsid w:val="00840D35"/>
    <w:rsid w:val="008414FC"/>
    <w:rsid w:val="00841DD6"/>
    <w:rsid w:val="00842340"/>
    <w:rsid w:val="008430F5"/>
    <w:rsid w:val="00843A34"/>
    <w:rsid w:val="00843BAD"/>
    <w:rsid w:val="00843F12"/>
    <w:rsid w:val="00844D15"/>
    <w:rsid w:val="00844EAB"/>
    <w:rsid w:val="00844F24"/>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061"/>
    <w:rsid w:val="008624EA"/>
    <w:rsid w:val="00862AD8"/>
    <w:rsid w:val="00862D15"/>
    <w:rsid w:val="00862F5D"/>
    <w:rsid w:val="008635AC"/>
    <w:rsid w:val="00863750"/>
    <w:rsid w:val="008637D9"/>
    <w:rsid w:val="00863A68"/>
    <w:rsid w:val="00863EFA"/>
    <w:rsid w:val="008640E5"/>
    <w:rsid w:val="0086411C"/>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24C4"/>
    <w:rsid w:val="0087285C"/>
    <w:rsid w:val="0087298D"/>
    <w:rsid w:val="008730D2"/>
    <w:rsid w:val="00873D5A"/>
    <w:rsid w:val="00874C1B"/>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18E"/>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2646"/>
    <w:rsid w:val="009129C0"/>
    <w:rsid w:val="00913116"/>
    <w:rsid w:val="009136DD"/>
    <w:rsid w:val="009137AC"/>
    <w:rsid w:val="00913C5F"/>
    <w:rsid w:val="00913E83"/>
    <w:rsid w:val="009141E4"/>
    <w:rsid w:val="0091477F"/>
    <w:rsid w:val="00914A3B"/>
    <w:rsid w:val="00915011"/>
    <w:rsid w:val="0091557D"/>
    <w:rsid w:val="009158E9"/>
    <w:rsid w:val="009161D2"/>
    <w:rsid w:val="00916347"/>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3011"/>
    <w:rsid w:val="0094326D"/>
    <w:rsid w:val="009432A0"/>
    <w:rsid w:val="0094384B"/>
    <w:rsid w:val="00944488"/>
    <w:rsid w:val="00944C66"/>
    <w:rsid w:val="00944FA6"/>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26E7"/>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A61"/>
    <w:rsid w:val="00997FC2"/>
    <w:rsid w:val="009A00AA"/>
    <w:rsid w:val="009A0299"/>
    <w:rsid w:val="009A04C9"/>
    <w:rsid w:val="009A0A87"/>
    <w:rsid w:val="009A0E25"/>
    <w:rsid w:val="009A117B"/>
    <w:rsid w:val="009A13BE"/>
    <w:rsid w:val="009A14D9"/>
    <w:rsid w:val="009A1B64"/>
    <w:rsid w:val="009A2699"/>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5E1"/>
    <w:rsid w:val="009B0952"/>
    <w:rsid w:val="009B0AB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A6F"/>
    <w:rsid w:val="009F5EB5"/>
    <w:rsid w:val="009F6359"/>
    <w:rsid w:val="009F6AC9"/>
    <w:rsid w:val="009F6C52"/>
    <w:rsid w:val="009F6E94"/>
    <w:rsid w:val="009F7867"/>
    <w:rsid w:val="009F794D"/>
    <w:rsid w:val="009F796E"/>
    <w:rsid w:val="00A004EE"/>
    <w:rsid w:val="00A0095B"/>
    <w:rsid w:val="00A00B55"/>
    <w:rsid w:val="00A015B5"/>
    <w:rsid w:val="00A0189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384"/>
    <w:rsid w:val="00A3489F"/>
    <w:rsid w:val="00A34C2C"/>
    <w:rsid w:val="00A35B51"/>
    <w:rsid w:val="00A35DF9"/>
    <w:rsid w:val="00A36028"/>
    <w:rsid w:val="00A3614E"/>
    <w:rsid w:val="00A36275"/>
    <w:rsid w:val="00A36983"/>
    <w:rsid w:val="00A36ACD"/>
    <w:rsid w:val="00A37297"/>
    <w:rsid w:val="00A374FA"/>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79D"/>
    <w:rsid w:val="00A45828"/>
    <w:rsid w:val="00A45A9D"/>
    <w:rsid w:val="00A45AB6"/>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737E"/>
    <w:rsid w:val="00A6793A"/>
    <w:rsid w:val="00A6795A"/>
    <w:rsid w:val="00A67A92"/>
    <w:rsid w:val="00A70457"/>
    <w:rsid w:val="00A704C4"/>
    <w:rsid w:val="00A7098A"/>
    <w:rsid w:val="00A70D38"/>
    <w:rsid w:val="00A70F33"/>
    <w:rsid w:val="00A7117A"/>
    <w:rsid w:val="00A71219"/>
    <w:rsid w:val="00A7121F"/>
    <w:rsid w:val="00A718F3"/>
    <w:rsid w:val="00A72545"/>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CC"/>
    <w:rsid w:val="00A82488"/>
    <w:rsid w:val="00A82CC5"/>
    <w:rsid w:val="00A82F3A"/>
    <w:rsid w:val="00A8302C"/>
    <w:rsid w:val="00A8326C"/>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92"/>
    <w:rsid w:val="00AC13B9"/>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B72"/>
    <w:rsid w:val="00AC6C33"/>
    <w:rsid w:val="00AC6D41"/>
    <w:rsid w:val="00AC6DD5"/>
    <w:rsid w:val="00AC6E2D"/>
    <w:rsid w:val="00AC7D0C"/>
    <w:rsid w:val="00AC7ECE"/>
    <w:rsid w:val="00AD0BF4"/>
    <w:rsid w:val="00AD0F0B"/>
    <w:rsid w:val="00AD1783"/>
    <w:rsid w:val="00AD195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7A72"/>
    <w:rsid w:val="00AD7B61"/>
    <w:rsid w:val="00AD7E7C"/>
    <w:rsid w:val="00AE03BB"/>
    <w:rsid w:val="00AE0533"/>
    <w:rsid w:val="00AE060C"/>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54D"/>
    <w:rsid w:val="00B348AC"/>
    <w:rsid w:val="00B349EE"/>
    <w:rsid w:val="00B34B34"/>
    <w:rsid w:val="00B34C40"/>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CB8"/>
    <w:rsid w:val="00B71689"/>
    <w:rsid w:val="00B71CEF"/>
    <w:rsid w:val="00B72693"/>
    <w:rsid w:val="00B72CC6"/>
    <w:rsid w:val="00B73719"/>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D9"/>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847"/>
    <w:rsid w:val="00B94C09"/>
    <w:rsid w:val="00B950D3"/>
    <w:rsid w:val="00B9523A"/>
    <w:rsid w:val="00B95905"/>
    <w:rsid w:val="00B95986"/>
    <w:rsid w:val="00B95C50"/>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71D7"/>
    <w:rsid w:val="00BB7280"/>
    <w:rsid w:val="00BB7312"/>
    <w:rsid w:val="00BB7C33"/>
    <w:rsid w:val="00BC0096"/>
    <w:rsid w:val="00BC031E"/>
    <w:rsid w:val="00BC0363"/>
    <w:rsid w:val="00BC0914"/>
    <w:rsid w:val="00BC10C2"/>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607"/>
    <w:rsid w:val="00BD5069"/>
    <w:rsid w:val="00BD5106"/>
    <w:rsid w:val="00BD529A"/>
    <w:rsid w:val="00BD55E1"/>
    <w:rsid w:val="00BD56B4"/>
    <w:rsid w:val="00BD5AEA"/>
    <w:rsid w:val="00BD5F7C"/>
    <w:rsid w:val="00BD640E"/>
    <w:rsid w:val="00BD6D90"/>
    <w:rsid w:val="00BD6FC0"/>
    <w:rsid w:val="00BD7A58"/>
    <w:rsid w:val="00BD7B8A"/>
    <w:rsid w:val="00BD7C25"/>
    <w:rsid w:val="00BE0077"/>
    <w:rsid w:val="00BE05E2"/>
    <w:rsid w:val="00BE060B"/>
    <w:rsid w:val="00BE06ED"/>
    <w:rsid w:val="00BE0BA5"/>
    <w:rsid w:val="00BE0C04"/>
    <w:rsid w:val="00BE0CBF"/>
    <w:rsid w:val="00BE10BA"/>
    <w:rsid w:val="00BE167E"/>
    <w:rsid w:val="00BE19B0"/>
    <w:rsid w:val="00BE36E1"/>
    <w:rsid w:val="00BE3EF2"/>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E33"/>
    <w:rsid w:val="00BF2FBF"/>
    <w:rsid w:val="00BF35BC"/>
    <w:rsid w:val="00BF3B22"/>
    <w:rsid w:val="00BF4100"/>
    <w:rsid w:val="00BF4458"/>
    <w:rsid w:val="00BF486D"/>
    <w:rsid w:val="00BF48C5"/>
    <w:rsid w:val="00BF48FA"/>
    <w:rsid w:val="00BF6D60"/>
    <w:rsid w:val="00BF7377"/>
    <w:rsid w:val="00BF7E62"/>
    <w:rsid w:val="00C00370"/>
    <w:rsid w:val="00C0057C"/>
    <w:rsid w:val="00C00927"/>
    <w:rsid w:val="00C00DA3"/>
    <w:rsid w:val="00C00DB9"/>
    <w:rsid w:val="00C00F18"/>
    <w:rsid w:val="00C00FCB"/>
    <w:rsid w:val="00C01167"/>
    <w:rsid w:val="00C01578"/>
    <w:rsid w:val="00C019F8"/>
    <w:rsid w:val="00C02039"/>
    <w:rsid w:val="00C024C9"/>
    <w:rsid w:val="00C02696"/>
    <w:rsid w:val="00C02B62"/>
    <w:rsid w:val="00C03759"/>
    <w:rsid w:val="00C0382C"/>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2AA"/>
    <w:rsid w:val="00C1531C"/>
    <w:rsid w:val="00C1542D"/>
    <w:rsid w:val="00C157C9"/>
    <w:rsid w:val="00C15964"/>
    <w:rsid w:val="00C15C21"/>
    <w:rsid w:val="00C16595"/>
    <w:rsid w:val="00C16743"/>
    <w:rsid w:val="00C16E0B"/>
    <w:rsid w:val="00C16F1C"/>
    <w:rsid w:val="00C16F6F"/>
    <w:rsid w:val="00C17125"/>
    <w:rsid w:val="00C17B7F"/>
    <w:rsid w:val="00C17CB3"/>
    <w:rsid w:val="00C17D87"/>
    <w:rsid w:val="00C203F4"/>
    <w:rsid w:val="00C208E1"/>
    <w:rsid w:val="00C20B38"/>
    <w:rsid w:val="00C20D34"/>
    <w:rsid w:val="00C20E48"/>
    <w:rsid w:val="00C211B9"/>
    <w:rsid w:val="00C21247"/>
    <w:rsid w:val="00C213A2"/>
    <w:rsid w:val="00C21772"/>
    <w:rsid w:val="00C21972"/>
    <w:rsid w:val="00C21BCB"/>
    <w:rsid w:val="00C222EF"/>
    <w:rsid w:val="00C226C7"/>
    <w:rsid w:val="00C23287"/>
    <w:rsid w:val="00C2388A"/>
    <w:rsid w:val="00C24116"/>
    <w:rsid w:val="00C247FD"/>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3CCC"/>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3622"/>
    <w:rsid w:val="00C539D2"/>
    <w:rsid w:val="00C54465"/>
    <w:rsid w:val="00C54CE2"/>
    <w:rsid w:val="00C54E9E"/>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250"/>
    <w:rsid w:val="00C63E9B"/>
    <w:rsid w:val="00C64B52"/>
    <w:rsid w:val="00C64CA7"/>
    <w:rsid w:val="00C65023"/>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4F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2DFF"/>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CEE"/>
    <w:rsid w:val="00D0405E"/>
    <w:rsid w:val="00D0412E"/>
    <w:rsid w:val="00D04B10"/>
    <w:rsid w:val="00D04E19"/>
    <w:rsid w:val="00D05571"/>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988"/>
    <w:rsid w:val="00D24B65"/>
    <w:rsid w:val="00D24D7B"/>
    <w:rsid w:val="00D252ED"/>
    <w:rsid w:val="00D2631C"/>
    <w:rsid w:val="00D26663"/>
    <w:rsid w:val="00D271A5"/>
    <w:rsid w:val="00D27C84"/>
    <w:rsid w:val="00D27C97"/>
    <w:rsid w:val="00D27D7A"/>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94A"/>
    <w:rsid w:val="00D442CE"/>
    <w:rsid w:val="00D444F2"/>
    <w:rsid w:val="00D449E4"/>
    <w:rsid w:val="00D451B1"/>
    <w:rsid w:val="00D4525A"/>
    <w:rsid w:val="00D45290"/>
    <w:rsid w:val="00D45736"/>
    <w:rsid w:val="00D45781"/>
    <w:rsid w:val="00D45AB1"/>
    <w:rsid w:val="00D45B28"/>
    <w:rsid w:val="00D46BFB"/>
    <w:rsid w:val="00D46F55"/>
    <w:rsid w:val="00D46F86"/>
    <w:rsid w:val="00D47328"/>
    <w:rsid w:val="00D50A54"/>
    <w:rsid w:val="00D5126C"/>
    <w:rsid w:val="00D5170E"/>
    <w:rsid w:val="00D51A6E"/>
    <w:rsid w:val="00D51E70"/>
    <w:rsid w:val="00D52680"/>
    <w:rsid w:val="00D536DC"/>
    <w:rsid w:val="00D54108"/>
    <w:rsid w:val="00D547F2"/>
    <w:rsid w:val="00D54833"/>
    <w:rsid w:val="00D54D08"/>
    <w:rsid w:val="00D5535C"/>
    <w:rsid w:val="00D5541B"/>
    <w:rsid w:val="00D5564A"/>
    <w:rsid w:val="00D55683"/>
    <w:rsid w:val="00D56396"/>
    <w:rsid w:val="00D56B1B"/>
    <w:rsid w:val="00D5740A"/>
    <w:rsid w:val="00D57547"/>
    <w:rsid w:val="00D5757A"/>
    <w:rsid w:val="00D57A15"/>
    <w:rsid w:val="00D57E19"/>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CB7"/>
    <w:rsid w:val="00D6781E"/>
    <w:rsid w:val="00D67A31"/>
    <w:rsid w:val="00D702CB"/>
    <w:rsid w:val="00D704F1"/>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2589"/>
    <w:rsid w:val="00D8280C"/>
    <w:rsid w:val="00D8298A"/>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483"/>
    <w:rsid w:val="00DC074A"/>
    <w:rsid w:val="00DC0837"/>
    <w:rsid w:val="00DC0B71"/>
    <w:rsid w:val="00DC110A"/>
    <w:rsid w:val="00DC233A"/>
    <w:rsid w:val="00DC2636"/>
    <w:rsid w:val="00DC296D"/>
    <w:rsid w:val="00DC299B"/>
    <w:rsid w:val="00DC3934"/>
    <w:rsid w:val="00DC4594"/>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4C"/>
    <w:rsid w:val="00DD16BF"/>
    <w:rsid w:val="00DD258D"/>
    <w:rsid w:val="00DD263D"/>
    <w:rsid w:val="00DD3411"/>
    <w:rsid w:val="00DD3696"/>
    <w:rsid w:val="00DD372E"/>
    <w:rsid w:val="00DD3B08"/>
    <w:rsid w:val="00DD3DAD"/>
    <w:rsid w:val="00DD3F7E"/>
    <w:rsid w:val="00DD408F"/>
    <w:rsid w:val="00DD4477"/>
    <w:rsid w:val="00DD4711"/>
    <w:rsid w:val="00DD580F"/>
    <w:rsid w:val="00DD5A73"/>
    <w:rsid w:val="00DD5D12"/>
    <w:rsid w:val="00DD605E"/>
    <w:rsid w:val="00DD6CF5"/>
    <w:rsid w:val="00DD6E8B"/>
    <w:rsid w:val="00DD6F9E"/>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3E39"/>
    <w:rsid w:val="00DE40D7"/>
    <w:rsid w:val="00DE4390"/>
    <w:rsid w:val="00DE4472"/>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191"/>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2DC9"/>
    <w:rsid w:val="00E232D1"/>
    <w:rsid w:val="00E2399D"/>
    <w:rsid w:val="00E23B45"/>
    <w:rsid w:val="00E23B89"/>
    <w:rsid w:val="00E23C15"/>
    <w:rsid w:val="00E2425A"/>
    <w:rsid w:val="00E242D1"/>
    <w:rsid w:val="00E245E0"/>
    <w:rsid w:val="00E24812"/>
    <w:rsid w:val="00E248C5"/>
    <w:rsid w:val="00E248DA"/>
    <w:rsid w:val="00E24B5C"/>
    <w:rsid w:val="00E257DA"/>
    <w:rsid w:val="00E25FFD"/>
    <w:rsid w:val="00E261E7"/>
    <w:rsid w:val="00E26437"/>
    <w:rsid w:val="00E26CF2"/>
    <w:rsid w:val="00E27237"/>
    <w:rsid w:val="00E2766E"/>
    <w:rsid w:val="00E277A5"/>
    <w:rsid w:val="00E27E99"/>
    <w:rsid w:val="00E300F2"/>
    <w:rsid w:val="00E30F98"/>
    <w:rsid w:val="00E30FF3"/>
    <w:rsid w:val="00E310DD"/>
    <w:rsid w:val="00E316B8"/>
    <w:rsid w:val="00E31A02"/>
    <w:rsid w:val="00E31DDE"/>
    <w:rsid w:val="00E320C5"/>
    <w:rsid w:val="00E326F4"/>
    <w:rsid w:val="00E32F9C"/>
    <w:rsid w:val="00E3300E"/>
    <w:rsid w:val="00E33178"/>
    <w:rsid w:val="00E3320D"/>
    <w:rsid w:val="00E332FF"/>
    <w:rsid w:val="00E3364F"/>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05E"/>
    <w:rsid w:val="00E63385"/>
    <w:rsid w:val="00E633B6"/>
    <w:rsid w:val="00E6355F"/>
    <w:rsid w:val="00E636BC"/>
    <w:rsid w:val="00E63B11"/>
    <w:rsid w:val="00E64000"/>
    <w:rsid w:val="00E64202"/>
    <w:rsid w:val="00E64511"/>
    <w:rsid w:val="00E64768"/>
    <w:rsid w:val="00E647F0"/>
    <w:rsid w:val="00E64930"/>
    <w:rsid w:val="00E64DAF"/>
    <w:rsid w:val="00E653C1"/>
    <w:rsid w:val="00E66180"/>
    <w:rsid w:val="00E664A1"/>
    <w:rsid w:val="00E66619"/>
    <w:rsid w:val="00E66946"/>
    <w:rsid w:val="00E66A22"/>
    <w:rsid w:val="00E66F65"/>
    <w:rsid w:val="00E66FEB"/>
    <w:rsid w:val="00E675CB"/>
    <w:rsid w:val="00E677B5"/>
    <w:rsid w:val="00E7005A"/>
    <w:rsid w:val="00E702A9"/>
    <w:rsid w:val="00E702D1"/>
    <w:rsid w:val="00E71513"/>
    <w:rsid w:val="00E71CC6"/>
    <w:rsid w:val="00E721BB"/>
    <w:rsid w:val="00E722F6"/>
    <w:rsid w:val="00E72965"/>
    <w:rsid w:val="00E72E24"/>
    <w:rsid w:val="00E73711"/>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84C"/>
    <w:rsid w:val="00EA1C27"/>
    <w:rsid w:val="00EA1DE1"/>
    <w:rsid w:val="00EA2086"/>
    <w:rsid w:val="00EA26DC"/>
    <w:rsid w:val="00EA275F"/>
    <w:rsid w:val="00EA27E8"/>
    <w:rsid w:val="00EA2ABA"/>
    <w:rsid w:val="00EA309B"/>
    <w:rsid w:val="00EA3266"/>
    <w:rsid w:val="00EA359E"/>
    <w:rsid w:val="00EA3660"/>
    <w:rsid w:val="00EA38CB"/>
    <w:rsid w:val="00EA3AEF"/>
    <w:rsid w:val="00EA3E56"/>
    <w:rsid w:val="00EA412A"/>
    <w:rsid w:val="00EA4178"/>
    <w:rsid w:val="00EA4EE2"/>
    <w:rsid w:val="00EA512E"/>
    <w:rsid w:val="00EA5919"/>
    <w:rsid w:val="00EA5D57"/>
    <w:rsid w:val="00EA5D61"/>
    <w:rsid w:val="00EA61D3"/>
    <w:rsid w:val="00EA67CE"/>
    <w:rsid w:val="00EA72C6"/>
    <w:rsid w:val="00EA7B5C"/>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B22"/>
    <w:rsid w:val="00EC2555"/>
    <w:rsid w:val="00EC2CF8"/>
    <w:rsid w:val="00EC2D1B"/>
    <w:rsid w:val="00EC34D6"/>
    <w:rsid w:val="00EC404E"/>
    <w:rsid w:val="00EC5191"/>
    <w:rsid w:val="00EC51B5"/>
    <w:rsid w:val="00EC51FD"/>
    <w:rsid w:val="00EC546B"/>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817"/>
    <w:rsid w:val="00EF0968"/>
    <w:rsid w:val="00EF0F3E"/>
    <w:rsid w:val="00EF11EE"/>
    <w:rsid w:val="00EF14F8"/>
    <w:rsid w:val="00EF1DE9"/>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EA4"/>
    <w:rsid w:val="00F06046"/>
    <w:rsid w:val="00F0633A"/>
    <w:rsid w:val="00F06A6F"/>
    <w:rsid w:val="00F06DB1"/>
    <w:rsid w:val="00F07780"/>
    <w:rsid w:val="00F07ADA"/>
    <w:rsid w:val="00F07C3C"/>
    <w:rsid w:val="00F07F5F"/>
    <w:rsid w:val="00F10313"/>
    <w:rsid w:val="00F10319"/>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58A"/>
    <w:rsid w:val="00F27674"/>
    <w:rsid w:val="00F27701"/>
    <w:rsid w:val="00F27C1E"/>
    <w:rsid w:val="00F30257"/>
    <w:rsid w:val="00F303E8"/>
    <w:rsid w:val="00F30434"/>
    <w:rsid w:val="00F30BC4"/>
    <w:rsid w:val="00F31018"/>
    <w:rsid w:val="00F31256"/>
    <w:rsid w:val="00F31913"/>
    <w:rsid w:val="00F32CB3"/>
    <w:rsid w:val="00F32E03"/>
    <w:rsid w:val="00F3319A"/>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0ED4"/>
    <w:rsid w:val="00F4102E"/>
    <w:rsid w:val="00F411B2"/>
    <w:rsid w:val="00F414AE"/>
    <w:rsid w:val="00F4172D"/>
    <w:rsid w:val="00F418D9"/>
    <w:rsid w:val="00F4200F"/>
    <w:rsid w:val="00F42064"/>
    <w:rsid w:val="00F42B4E"/>
    <w:rsid w:val="00F4319A"/>
    <w:rsid w:val="00F4379E"/>
    <w:rsid w:val="00F4479D"/>
    <w:rsid w:val="00F44F40"/>
    <w:rsid w:val="00F455DD"/>
    <w:rsid w:val="00F45DB4"/>
    <w:rsid w:val="00F460FD"/>
    <w:rsid w:val="00F461C9"/>
    <w:rsid w:val="00F467DF"/>
    <w:rsid w:val="00F46A1E"/>
    <w:rsid w:val="00F4707B"/>
    <w:rsid w:val="00F471C7"/>
    <w:rsid w:val="00F47F8D"/>
    <w:rsid w:val="00F503B9"/>
    <w:rsid w:val="00F504E9"/>
    <w:rsid w:val="00F50B27"/>
    <w:rsid w:val="00F50BBC"/>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45C"/>
    <w:rsid w:val="00F62B05"/>
    <w:rsid w:val="00F62BB6"/>
    <w:rsid w:val="00F62E11"/>
    <w:rsid w:val="00F63205"/>
    <w:rsid w:val="00F65EDB"/>
    <w:rsid w:val="00F66093"/>
    <w:rsid w:val="00F660F0"/>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1D7F"/>
    <w:rsid w:val="00F824B5"/>
    <w:rsid w:val="00F82FE4"/>
    <w:rsid w:val="00F830F4"/>
    <w:rsid w:val="00F83523"/>
    <w:rsid w:val="00F83BB6"/>
    <w:rsid w:val="00F84327"/>
    <w:rsid w:val="00F843CC"/>
    <w:rsid w:val="00F8488F"/>
    <w:rsid w:val="00F84984"/>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6F5"/>
    <w:rsid w:val="00FD7FE6"/>
    <w:rsid w:val="00FE0389"/>
    <w:rsid w:val="00FE05B4"/>
    <w:rsid w:val="00FE0C3D"/>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uiPriority w:val="20"/>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qFormat/>
    <w:rPr>
      <w:color w:val="808080"/>
    </w:rPr>
  </w:style>
  <w:style w:type="paragraph" w:styleId="af8">
    <w:name w:val="List Paragraph"/>
    <w:basedOn w:val="a"/>
    <w:uiPriority w:val="99"/>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openxmlformats.org/officeDocument/2006/relationships/image" Target="media/image8.emf"/><Relationship Id="rId25"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chart" Target="charts/chart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file:///D:\3gpp\"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3gpp\"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Quantization: M=4</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Sheet2!$B$1</c:f>
              <c:strCache>
                <c:ptCount val="1"/>
                <c:pt idx="0">
                  <c:v>Alt.1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Sheet2!$F$2:$F$4</c:f>
              <c:numCache>
                <c:formatCode>General</c:formatCode>
                <c:ptCount val="3"/>
                <c:pt idx="0">
                  <c:v>227</c:v>
                </c:pt>
                <c:pt idx="1">
                  <c:v>326</c:v>
                </c:pt>
                <c:pt idx="2">
                  <c:v>423</c:v>
                </c:pt>
              </c:numCache>
            </c:numRef>
          </c:xVal>
          <c:yVal>
            <c:numRef>
              <c:f>Sheet2!$B$2:$B$4</c:f>
              <c:numCache>
                <c:formatCode>0.00%</c:formatCode>
                <c:ptCount val="3"/>
                <c:pt idx="0" formatCode="0%">
                  <c:v>1</c:v>
                </c:pt>
                <c:pt idx="1">
                  <c:v>1.0609999999999999</c:v>
                </c:pt>
                <c:pt idx="2">
                  <c:v>1.1020000000000001</c:v>
                </c:pt>
              </c:numCache>
            </c:numRef>
          </c:yVal>
          <c:smooth val="0"/>
        </c:ser>
        <c:ser>
          <c:idx val="1"/>
          <c:order val="1"/>
          <c:tx>
            <c:strRef>
              <c:f>Sheet2!$C$1</c:f>
              <c:strCache>
                <c:ptCount val="1"/>
                <c:pt idx="0">
                  <c:v>Alt.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Sheet2!$G$2:$G$4</c:f>
              <c:numCache>
                <c:formatCode>General</c:formatCode>
                <c:ptCount val="3"/>
                <c:pt idx="0">
                  <c:v>219</c:v>
                </c:pt>
                <c:pt idx="1">
                  <c:v>314</c:v>
                </c:pt>
                <c:pt idx="2">
                  <c:v>407</c:v>
                </c:pt>
              </c:numCache>
            </c:numRef>
          </c:xVal>
          <c:yVal>
            <c:numRef>
              <c:f>Sheet2!$C$2:$C$4</c:f>
              <c:numCache>
                <c:formatCode>0.00%</c:formatCode>
                <c:ptCount val="3"/>
                <c:pt idx="0">
                  <c:v>1.0032000000000001</c:v>
                </c:pt>
                <c:pt idx="1">
                  <c:v>1.0602</c:v>
                </c:pt>
                <c:pt idx="2">
                  <c:v>1.0971</c:v>
                </c:pt>
              </c:numCache>
            </c:numRef>
          </c:yVal>
          <c:smooth val="0"/>
        </c:ser>
        <c:dLbls>
          <c:showLegendKey val="0"/>
          <c:showVal val="0"/>
          <c:showCatName val="0"/>
          <c:showSerName val="0"/>
          <c:showPercent val="0"/>
          <c:showBubbleSize val="0"/>
        </c:dLbls>
        <c:axId val="778160936"/>
        <c:axId val="778162112"/>
      </c:scatterChart>
      <c:valAx>
        <c:axId val="778160936"/>
        <c:scaling>
          <c:orientation val="minMax"/>
          <c:min val="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sz="1000" b="0" i="0" baseline="0">
                    <a:effectLst/>
                  </a:rPr>
                  <a:t>Rank-2 Overhead (bit)</a:t>
                </a:r>
                <a:endParaRPr lang="zh-CN" altLang="zh-CN" sz="1000">
                  <a:effectLst/>
                </a:endParaRPr>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8162112"/>
        <c:crosses val="autoZero"/>
        <c:crossBetween val="midCat"/>
      </c:valAx>
      <c:valAx>
        <c:axId val="778162112"/>
        <c:scaling>
          <c:orientation val="minMax"/>
          <c:max val="1.111"/>
          <c:min val="0.9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sz="1000" b="0" i="0" baseline="0">
                    <a:effectLst/>
                  </a:rPr>
                  <a:t>Relative Avg. UPT</a:t>
                </a:r>
                <a:endParaRPr lang="zh-CN" altLang="zh-CN" sz="1000">
                  <a:effectLst/>
                </a:endParaRPr>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816093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Quantization:</a:t>
            </a:r>
            <a:r>
              <a:rPr lang="en-US" altLang="zh-CN" baseline="0"/>
              <a:t> M=5</a:t>
            </a:r>
            <a:endParaRPr lang="zh-CN" altLang="en-US"/>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Sheet2!$F$1</c:f>
              <c:strCache>
                <c:ptCount val="1"/>
                <c:pt idx="0">
                  <c:v>Alt.1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Sheet2!$F$7:$F$9</c:f>
              <c:numCache>
                <c:formatCode>General</c:formatCode>
                <c:ptCount val="3"/>
                <c:pt idx="0">
                  <c:v>277</c:v>
                </c:pt>
                <c:pt idx="1">
                  <c:v>400</c:v>
                </c:pt>
                <c:pt idx="2">
                  <c:v>521</c:v>
                </c:pt>
              </c:numCache>
            </c:numRef>
          </c:xVal>
          <c:yVal>
            <c:numRef>
              <c:f>Sheet2!$B$7:$B$9</c:f>
              <c:numCache>
                <c:formatCode>0.00%</c:formatCode>
                <c:ptCount val="3"/>
                <c:pt idx="0" formatCode="0%">
                  <c:v>1</c:v>
                </c:pt>
                <c:pt idx="1">
                  <c:v>1.0680000000000001</c:v>
                </c:pt>
                <c:pt idx="2">
                  <c:v>1.1080000000000001</c:v>
                </c:pt>
              </c:numCache>
            </c:numRef>
          </c:yVal>
          <c:smooth val="0"/>
        </c:ser>
        <c:ser>
          <c:idx val="1"/>
          <c:order val="1"/>
          <c:tx>
            <c:strRef>
              <c:f>Sheet2!$G$1</c:f>
              <c:strCache>
                <c:ptCount val="1"/>
                <c:pt idx="0">
                  <c:v>Alt. 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Sheet2!$G$7:$G$9</c:f>
              <c:numCache>
                <c:formatCode>General</c:formatCode>
                <c:ptCount val="3"/>
                <c:pt idx="0">
                  <c:v>261</c:v>
                </c:pt>
                <c:pt idx="1">
                  <c:v>376</c:v>
                </c:pt>
                <c:pt idx="2">
                  <c:v>489</c:v>
                </c:pt>
              </c:numCache>
            </c:numRef>
          </c:xVal>
          <c:yVal>
            <c:numRef>
              <c:f>Sheet2!$C$7:$C$9</c:f>
              <c:numCache>
                <c:formatCode>0.00%</c:formatCode>
                <c:ptCount val="3"/>
                <c:pt idx="0">
                  <c:v>0.998</c:v>
                </c:pt>
                <c:pt idx="1">
                  <c:v>1.0669999999999999</c:v>
                </c:pt>
                <c:pt idx="2">
                  <c:v>1.1040000000000001</c:v>
                </c:pt>
              </c:numCache>
            </c:numRef>
          </c:yVal>
          <c:smooth val="0"/>
        </c:ser>
        <c:dLbls>
          <c:showLegendKey val="0"/>
          <c:showVal val="0"/>
          <c:showCatName val="0"/>
          <c:showSerName val="0"/>
          <c:showPercent val="0"/>
          <c:showBubbleSize val="0"/>
        </c:dLbls>
        <c:axId val="690372104"/>
        <c:axId val="690372496"/>
      </c:scatterChart>
      <c:valAx>
        <c:axId val="690372104"/>
        <c:scaling>
          <c:orientation val="minMax"/>
          <c:max val="540"/>
          <c:min val="24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Rank-2 Overhead (bit)</a:t>
                </a:r>
                <a:endParaRPr lang="zh-CN" altLang="en-US"/>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90372496"/>
        <c:crosses val="autoZero"/>
        <c:crossBetween val="midCat"/>
      </c:valAx>
      <c:valAx>
        <c:axId val="690372496"/>
        <c:scaling>
          <c:orientation val="minMax"/>
          <c:max val="1.1100000000000001"/>
          <c:min val="0.9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Relative Avg. UPT</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903721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3911</Words>
  <Characters>22294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26153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cp:revision>
  <dcterms:created xsi:type="dcterms:W3CDTF">2019-01-12T04:45:00Z</dcterms:created>
  <dcterms:modified xsi:type="dcterms:W3CDTF">2019-01-12T04:45:00Z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